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39F712" w14:textId="58F86C6F" w:rsidR="00B23B03" w:rsidRDefault="00D536A0">
      <w:pPr>
        <w:rPr>
          <w:rFonts w:ascii="Times New Roman" w:hAnsi="Times New Roman" w:cs="Times New Roman"/>
          <w:b/>
          <w:bCs/>
          <w:sz w:val="28"/>
          <w:szCs w:val="28"/>
          <w:lang w:val="ru-RU"/>
        </w:rPr>
      </w:pPr>
      <w:r w:rsidRPr="00D536A0">
        <w:rPr>
          <w:rFonts w:ascii="Times New Roman" w:hAnsi="Times New Roman" w:cs="Times New Roman"/>
          <w:b/>
          <w:bCs/>
          <w:sz w:val="28"/>
          <w:szCs w:val="28"/>
          <w:lang w:val="ru-RU"/>
        </w:rPr>
        <w:t>Лекция 15.</w:t>
      </w:r>
    </w:p>
    <w:p w14:paraId="6821DFF0" w14:textId="77777777" w:rsidR="00AE1B12" w:rsidRPr="00AE1B12" w:rsidRDefault="00AE1B12" w:rsidP="00AE1B12">
      <w:pPr>
        <w:keepNext/>
        <w:spacing w:after="0" w:line="240" w:lineRule="auto"/>
        <w:jc w:val="center"/>
        <w:outlineLvl w:val="0"/>
        <w:rPr>
          <w:rFonts w:ascii="Times New Roman" w:eastAsia="Times New Roman" w:hAnsi="Times New Roman" w:cs="Times New Roman"/>
          <w:sz w:val="28"/>
          <w:szCs w:val="28"/>
          <w:lang w:val="kk-KZ" w:eastAsia="ru-RU"/>
        </w:rPr>
      </w:pPr>
      <w:r w:rsidRPr="00AE1B12">
        <w:rPr>
          <w:rFonts w:ascii="Times New Roman" w:eastAsia="Times New Roman" w:hAnsi="Times New Roman" w:cs="Times New Roman"/>
          <w:sz w:val="28"/>
          <w:szCs w:val="28"/>
          <w:lang w:val="kk-KZ" w:eastAsia="ru-RU"/>
        </w:rPr>
        <w:t xml:space="preserve">ПЕРЕДАЧА ПРАВ НА ОБЪЕКТЫ ПРОМЫШЛЕННОЙ СОБСТВЕННОСТИ </w:t>
      </w:r>
    </w:p>
    <w:p w14:paraId="7698F66A" w14:textId="77777777" w:rsidR="00AE1B12" w:rsidRPr="00AE1B12" w:rsidRDefault="00AE1B12" w:rsidP="00AE1B12">
      <w:pPr>
        <w:spacing w:after="0" w:line="240" w:lineRule="auto"/>
        <w:jc w:val="both"/>
        <w:rPr>
          <w:rFonts w:ascii="Times New Roman" w:eastAsia="Times New Roman" w:hAnsi="Times New Roman" w:cs="Times New Roman"/>
          <w:sz w:val="28"/>
          <w:szCs w:val="28"/>
          <w:lang w:val="ru-RU" w:eastAsia="ru-RU"/>
        </w:rPr>
      </w:pPr>
    </w:p>
    <w:p w14:paraId="653246DA" w14:textId="671EB35E" w:rsidR="00AE1B12" w:rsidRPr="00AE1B12" w:rsidRDefault="00233A7F" w:rsidP="00AE1B12">
      <w:pPr>
        <w:keepNext/>
        <w:spacing w:after="0" w:line="240" w:lineRule="auto"/>
        <w:ind w:firstLine="872"/>
        <w:jc w:val="center"/>
        <w:outlineLvl w:val="1"/>
        <w:rPr>
          <w:rFonts w:ascii="Times New Roman" w:eastAsia="Times New Roman" w:hAnsi="Times New Roman" w:cs="Times New Roman"/>
          <w:b/>
          <w:sz w:val="28"/>
          <w:szCs w:val="28"/>
          <w:lang w:val="ru-RU" w:eastAsia="ru-RU"/>
        </w:rPr>
      </w:pPr>
      <w:bookmarkStart w:id="0" w:name="_Toc276932486"/>
      <w:r>
        <w:rPr>
          <w:rFonts w:ascii="Times New Roman" w:eastAsia="Times New Roman" w:hAnsi="Times New Roman" w:cs="Times New Roman"/>
          <w:b/>
          <w:sz w:val="28"/>
          <w:szCs w:val="28"/>
          <w:lang w:val="ru-RU" w:eastAsia="ru-RU"/>
        </w:rPr>
        <w:t>15</w:t>
      </w:r>
      <w:r w:rsidR="00AE1B12" w:rsidRPr="00AE1B12">
        <w:rPr>
          <w:rFonts w:ascii="Times New Roman" w:eastAsia="Times New Roman" w:hAnsi="Times New Roman" w:cs="Times New Roman"/>
          <w:b/>
          <w:sz w:val="28"/>
          <w:szCs w:val="28"/>
          <w:lang w:val="ru-RU" w:eastAsia="ru-RU"/>
        </w:rPr>
        <w:t>.1 Лицензионный договор. Виды лицензионных договоров</w:t>
      </w:r>
      <w:bookmarkEnd w:id="0"/>
    </w:p>
    <w:p w14:paraId="54D50D42" w14:textId="77777777" w:rsidR="00AE1B12" w:rsidRPr="00AE1B12" w:rsidRDefault="00AE1B12" w:rsidP="00AE1B12">
      <w:pPr>
        <w:spacing w:after="0" w:line="240" w:lineRule="auto"/>
        <w:jc w:val="both"/>
        <w:rPr>
          <w:rFonts w:ascii="Times New Roman" w:eastAsia="Times New Roman" w:hAnsi="Times New Roman" w:cs="Times New Roman"/>
          <w:sz w:val="28"/>
          <w:szCs w:val="28"/>
          <w:lang w:val="ru-RU" w:eastAsia="ru-RU"/>
        </w:rPr>
      </w:pPr>
    </w:p>
    <w:p w14:paraId="0C6A84AE"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Любое лицо вправе использовать запатентованные изобретение, полезную модель, промышленный образец лишь с разрешения патентообладателя (на основе лицензионного договора). По лицензионному договору патентообладатель (лицензиар) обязуется предос-тавить право на использование изобретения, полезной модели, про-мышленного образца в объеме, предусмотренном договором, другому лицу (лицензиату), а последний принимает на себя обязанность вносить лицензиару обусловленные договором платежи и осуществлять другие действия, предусмотренные договором. </w:t>
      </w:r>
    </w:p>
    <w:p w14:paraId="6D70C9AB"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Лицензионный договор на использование запатентованных изобретения, полезной модели или промышленного образца подлежит регистрации в федеральном органе исполнительной власти по интеллектуальной собственности. Без указанной регистрации лицензионный договор считается недействительным. </w:t>
      </w:r>
    </w:p>
    <w:p w14:paraId="1AF5A9BF"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В зависимости от объекта лицензирования, существуют следующие разновидности соглашений о передаче прав на использование промышленной собственности: лицензия на изобретение, лицензия на промышленный образец, договор (лицензия) о передаче ноу-хау, лицензия на товарный знак. </w:t>
      </w:r>
    </w:p>
    <w:p w14:paraId="5D7DCB58"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В зависимости от объёма передаваемых прав лицензионный договор может быть исключительной или неисключительной (простой) лицензией. </w:t>
      </w:r>
    </w:p>
    <w:p w14:paraId="3DEEC955"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При исключительной лицензии лицензиату передается право на использование изобретения, полезной модели или промышленного образца в пределах, оговоренных договором, с сохранением за лицензиаром права на его использование в части, не передаваемой лицензиату. При неисключительной лицензии лицензиар, предоставляя лицензиату право на использование изобретения, полезной модели или промышленного образца, сохраняет за собой все права, подтверждаемые патентом, в том числе и на предоставление лицензий третьим лицам.</w:t>
      </w:r>
    </w:p>
    <w:p w14:paraId="0CAE9DF8"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Существуют сублицензии – вторичные лицензии, которые выдают обладатели лицензий. Сублицензии вправе выдавать обладатели исключительных, а при соответствующих оговорках - и простых лицензий. </w:t>
      </w:r>
    </w:p>
    <w:p w14:paraId="21EEEFA3"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По содержанию предоставляемых прав могут быть лицензии на производство, на сбыт (торговая лицензия), на использование, на производство, сбыт и использование и др. Как правило, лицензии предоставляются на производство и реализацию продукции. </w:t>
      </w:r>
    </w:p>
    <w:p w14:paraId="666C110F"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Лицензия может быть открытой и принудительной. Открытая лицензия – это когда патентообладатель подаёт в федеральный орган исполнительной власти по интеллектуальной собственности заявление о предоставлении любому лицу права на использование изобретения, полезной модели или промышленного образца. Лицо, изъявившее желание использовать указанные </w:t>
      </w:r>
      <w:r w:rsidRPr="00AE1B12">
        <w:rPr>
          <w:rFonts w:ascii="Times New Roman" w:eastAsia="Times New Roman" w:hAnsi="Times New Roman" w:cs="Times New Roman"/>
          <w:sz w:val="28"/>
          <w:szCs w:val="28"/>
          <w:lang w:val="ru-RU" w:eastAsia="ru-RU"/>
        </w:rPr>
        <w:lastRenderedPageBreak/>
        <w:t xml:space="preserve">изобретение, полезную модель или промышленный образец, обязано заключить с патентообладателем договор о платежах. </w:t>
      </w:r>
    </w:p>
    <w:p w14:paraId="5AD76C47"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В зависимости от наличия охранных документов бывают патентные лицензии, беспатентные лицензии, комплексные лицензии и др.</w:t>
      </w:r>
    </w:p>
    <w:p w14:paraId="1561B4FD"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p>
    <w:p w14:paraId="6069158A" w14:textId="278A82AB" w:rsidR="00AE1B12" w:rsidRPr="00AE1B12" w:rsidRDefault="00233A7F" w:rsidP="00233A7F">
      <w:pPr>
        <w:keepNext/>
        <w:spacing w:after="0" w:line="240" w:lineRule="auto"/>
        <w:ind w:firstLine="872"/>
        <w:outlineLvl w:val="1"/>
        <w:rPr>
          <w:rFonts w:ascii="Times New Roman" w:eastAsia="Times New Roman" w:hAnsi="Times New Roman" w:cs="Times New Roman"/>
          <w:b/>
          <w:sz w:val="28"/>
          <w:szCs w:val="28"/>
          <w:lang w:val="ru-RU" w:eastAsia="ru-RU"/>
        </w:rPr>
      </w:pPr>
      <w:bookmarkStart w:id="1" w:name="_Toc276932487"/>
      <w:r>
        <w:rPr>
          <w:rFonts w:ascii="Times New Roman" w:eastAsia="Times New Roman" w:hAnsi="Times New Roman" w:cs="Times New Roman"/>
          <w:b/>
          <w:sz w:val="28"/>
          <w:szCs w:val="28"/>
          <w:lang w:val="ru-RU" w:eastAsia="ru-RU"/>
        </w:rPr>
        <w:t>15</w:t>
      </w:r>
      <w:r w:rsidR="00AE1B12" w:rsidRPr="00AE1B12">
        <w:rPr>
          <w:rFonts w:ascii="Times New Roman" w:eastAsia="Times New Roman" w:hAnsi="Times New Roman" w:cs="Times New Roman"/>
          <w:b/>
          <w:sz w:val="28"/>
          <w:szCs w:val="28"/>
          <w:lang w:val="ru-RU" w:eastAsia="ru-RU"/>
        </w:rPr>
        <w:t>.2 Патентная, беспатентная и комплексная лицензии</w:t>
      </w:r>
      <w:bookmarkEnd w:id="1"/>
      <w:r w:rsidR="00AE1B12" w:rsidRPr="00AE1B12">
        <w:rPr>
          <w:rFonts w:ascii="Times New Roman" w:eastAsia="Times New Roman" w:hAnsi="Times New Roman" w:cs="Times New Roman"/>
          <w:b/>
          <w:sz w:val="28"/>
          <w:szCs w:val="28"/>
          <w:lang w:val="ru-RU" w:eastAsia="ru-RU"/>
        </w:rPr>
        <w:t xml:space="preserve"> </w:t>
      </w:r>
    </w:p>
    <w:p w14:paraId="3A6C41D9"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p>
    <w:p w14:paraId="6626FF31"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Патентная лицензия - это соглашение о предоставлении права на использование охраняемых патентом объектов. Случаи продажи патентных лицензий редки. Они возникают тогда, когда наличие патента мешает лицензиату выйти на рынок той или иной страны. При продаже патентной лицензии, как правило, сведения о ноу-хау и техническая информация не предоставляются. Такие соглашения обычно возникают между индивидуальными патентообладателями и промышленными компаниями. </w:t>
      </w:r>
    </w:p>
    <w:p w14:paraId="0118E115"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Беспатентная лицензия (договор о передаче ноу-хау) предоставляет права на научно-технические достижения, либо вообще непатентоспособные, либо патентоспособные, но по каким-то причинам не получившие патентную охрану. По беспатентной лицензии могут передаваться сведения технического, организационного, экономического характера и др., например, документация, образцы, техническая помощь, обучение, управленческие услуги. Договор о передаче ноу-хау по существу не является лицензионным, т.к. его предметом является предоставление самого ноу-хау, а не исключительного права на его использование. </w:t>
      </w:r>
    </w:p>
    <w:p w14:paraId="327F93C8"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Количество беспатентных лицензий увеличивается, т.к. разработчик может при этом сохранять в тайне свои разработки, которые при патентовании становятся известными. Обычные условия договора о передаче ноу-хау - обеспечение конфиденциальности и запрещение на выдачу сублицензий лицензиатом. </w:t>
      </w:r>
    </w:p>
    <w:p w14:paraId="63553F7D"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В комплексных лицензионных соглашениях передаётся право на использование запатентованных объектов в совокупности с ноу-хау. При этом ноу-хау позволяет передавать в составе лицензий образцы оборудования, сырья и материалов, получить широкий доступ к особенностям технологии, инженерным услугам, что значительно повышает эффективность реализации лицензий.</w:t>
      </w:r>
    </w:p>
    <w:p w14:paraId="58718FF6"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p>
    <w:p w14:paraId="17ACC7F5" w14:textId="3DA2D64E" w:rsidR="00AE1B12" w:rsidRPr="00AE1B12" w:rsidRDefault="00AE1B12" w:rsidP="00AE1B12">
      <w:pPr>
        <w:keepNext/>
        <w:spacing w:after="0" w:line="240" w:lineRule="auto"/>
        <w:ind w:firstLine="872"/>
        <w:jc w:val="center"/>
        <w:outlineLvl w:val="1"/>
        <w:rPr>
          <w:rFonts w:ascii="Times New Roman" w:eastAsia="Times New Roman" w:hAnsi="Times New Roman" w:cs="Times New Roman"/>
          <w:b/>
          <w:sz w:val="28"/>
          <w:szCs w:val="28"/>
          <w:lang w:val="ru-RU" w:eastAsia="ru-RU"/>
        </w:rPr>
      </w:pPr>
      <w:bookmarkStart w:id="2" w:name="_Toc276932488"/>
      <w:r w:rsidRPr="00AE1B12">
        <w:rPr>
          <w:rFonts w:ascii="Times New Roman" w:eastAsia="Times New Roman" w:hAnsi="Times New Roman" w:cs="Times New Roman"/>
          <w:b/>
          <w:sz w:val="28"/>
          <w:szCs w:val="28"/>
          <w:lang w:val="ru-RU" w:eastAsia="ru-RU"/>
        </w:rPr>
        <w:t>1</w:t>
      </w:r>
      <w:r w:rsidR="00233A7F">
        <w:rPr>
          <w:rFonts w:ascii="Times New Roman" w:eastAsia="Times New Roman" w:hAnsi="Times New Roman" w:cs="Times New Roman"/>
          <w:b/>
          <w:sz w:val="28"/>
          <w:szCs w:val="28"/>
          <w:lang w:val="ru-RU" w:eastAsia="ru-RU"/>
        </w:rPr>
        <w:t>5</w:t>
      </w:r>
      <w:r w:rsidRPr="00AE1B12">
        <w:rPr>
          <w:rFonts w:ascii="Times New Roman" w:eastAsia="Times New Roman" w:hAnsi="Times New Roman" w:cs="Times New Roman"/>
          <w:b/>
          <w:sz w:val="28"/>
          <w:szCs w:val="28"/>
          <w:lang w:val="ru-RU" w:eastAsia="ru-RU"/>
        </w:rPr>
        <w:t>.3 Содержание лицензионных договоров</w:t>
      </w:r>
      <w:bookmarkEnd w:id="2"/>
      <w:r w:rsidRPr="00AE1B12">
        <w:rPr>
          <w:rFonts w:ascii="Times New Roman" w:eastAsia="Times New Roman" w:hAnsi="Times New Roman" w:cs="Times New Roman"/>
          <w:b/>
          <w:sz w:val="28"/>
          <w:szCs w:val="28"/>
          <w:lang w:val="ru-RU" w:eastAsia="ru-RU"/>
        </w:rPr>
        <w:t xml:space="preserve"> </w:t>
      </w:r>
    </w:p>
    <w:p w14:paraId="5A7FB195"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p>
    <w:p w14:paraId="6FCC8814"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Существует значительное количество типовых форм лицензионных договоров. Законодательство не регламентирует содержание лицензионных соглашений. Однако структура договоров и совокупность существенных условий определяется из общих положений гражданского законодательства. К существенным относятся условия о предмете договора, территории, объёме передаваемых прав, сроках выполнения обязательств и др. </w:t>
      </w:r>
    </w:p>
    <w:p w14:paraId="148D5723"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Лицензионный договор обычно включает следующие основные разделы: </w:t>
      </w:r>
    </w:p>
    <w:p w14:paraId="0D549489"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lastRenderedPageBreak/>
        <w:t xml:space="preserve">-преамбула; </w:t>
      </w:r>
    </w:p>
    <w:p w14:paraId="00D315CE"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-определение используемых терминов; </w:t>
      </w:r>
    </w:p>
    <w:p w14:paraId="3CF81EA2"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-предмет договора; </w:t>
      </w:r>
    </w:p>
    <w:p w14:paraId="15BBF96F"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-техническая документация или иная информация; </w:t>
      </w:r>
    </w:p>
    <w:p w14:paraId="675CC853"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-техническая помощь в освоении продукции по лицензии; </w:t>
      </w:r>
    </w:p>
    <w:p w14:paraId="6D7E1069"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-гарантии и ответственность; </w:t>
      </w:r>
    </w:p>
    <w:p w14:paraId="18487A71"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-усовершенствования и улучшения; </w:t>
      </w:r>
    </w:p>
    <w:p w14:paraId="2F8E02EA"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-защита передаваемых прав; </w:t>
      </w:r>
    </w:p>
    <w:p w14:paraId="761297E2"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-платежи; </w:t>
      </w:r>
    </w:p>
    <w:p w14:paraId="4259A0E1"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-сборы и налоги; </w:t>
      </w:r>
    </w:p>
    <w:p w14:paraId="037DA13F"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-информация и отчётность; </w:t>
      </w:r>
    </w:p>
    <w:p w14:paraId="059FA8A2"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-обеспечение конфиденциальности; </w:t>
      </w:r>
    </w:p>
    <w:p w14:paraId="591511E9"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-реклама;</w:t>
      </w:r>
    </w:p>
    <w:p w14:paraId="185D074A"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-разрешение споров; </w:t>
      </w:r>
    </w:p>
    <w:p w14:paraId="43ED6E16"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-срок действия договора и условия его расторжения; </w:t>
      </w:r>
    </w:p>
    <w:p w14:paraId="06A5116C"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-особые условия; </w:t>
      </w:r>
    </w:p>
    <w:p w14:paraId="0599FE08"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-юридические адреса сторон, банковские реквизиты; </w:t>
      </w:r>
    </w:p>
    <w:p w14:paraId="7FB3294E"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-приложения;</w:t>
      </w:r>
    </w:p>
    <w:p w14:paraId="1744A294"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p>
    <w:p w14:paraId="3F1DCA61" w14:textId="5C2CB0B8" w:rsidR="00AE1B12" w:rsidRPr="00AE1B12" w:rsidRDefault="00AE1B12" w:rsidP="00AE1B12">
      <w:pPr>
        <w:keepNext/>
        <w:spacing w:after="0" w:line="240" w:lineRule="auto"/>
        <w:ind w:firstLine="872"/>
        <w:jc w:val="center"/>
        <w:outlineLvl w:val="1"/>
        <w:rPr>
          <w:rFonts w:ascii="Times New Roman" w:eastAsia="Times New Roman" w:hAnsi="Times New Roman" w:cs="Times New Roman"/>
          <w:b/>
          <w:sz w:val="28"/>
          <w:szCs w:val="28"/>
          <w:lang w:val="ru-RU" w:eastAsia="ru-RU"/>
        </w:rPr>
      </w:pPr>
      <w:bookmarkStart w:id="3" w:name="_Toc276932489"/>
      <w:r w:rsidRPr="00AE1B12">
        <w:rPr>
          <w:rFonts w:ascii="Times New Roman" w:eastAsia="Times New Roman" w:hAnsi="Times New Roman" w:cs="Times New Roman"/>
          <w:b/>
          <w:sz w:val="28"/>
          <w:szCs w:val="28"/>
          <w:lang w:val="ru-RU" w:eastAsia="ru-RU"/>
        </w:rPr>
        <w:t>1</w:t>
      </w:r>
      <w:r w:rsidR="00233A7F">
        <w:rPr>
          <w:rFonts w:ascii="Times New Roman" w:eastAsia="Times New Roman" w:hAnsi="Times New Roman" w:cs="Times New Roman"/>
          <w:b/>
          <w:sz w:val="28"/>
          <w:szCs w:val="28"/>
          <w:lang w:val="ru-RU" w:eastAsia="ru-RU"/>
        </w:rPr>
        <w:t>5</w:t>
      </w:r>
      <w:r w:rsidRPr="00AE1B12">
        <w:rPr>
          <w:rFonts w:ascii="Times New Roman" w:eastAsia="Times New Roman" w:hAnsi="Times New Roman" w:cs="Times New Roman"/>
          <w:b/>
          <w:sz w:val="28"/>
          <w:szCs w:val="28"/>
          <w:lang w:val="ru-RU" w:eastAsia="ru-RU"/>
        </w:rPr>
        <w:t>.4 Лицензионные платежи</w:t>
      </w:r>
      <w:bookmarkEnd w:id="3"/>
    </w:p>
    <w:p w14:paraId="74E9B112"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p>
    <w:p w14:paraId="443AE478"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По лицензионному договору лицензиат выплачивает вознаграждение лицензиару. Определить стоимость лицензии очень сложно, т.к. реально определить её можно только уже при реализации лицензии в производстве. Существуют формулы для расчёта стоимости лицензии, но они могут служить лишь отправными пунктами для специалистов. </w:t>
      </w:r>
    </w:p>
    <w:p w14:paraId="225B9CD9"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Лицензионные платежи бывают: </w:t>
      </w:r>
    </w:p>
    <w:p w14:paraId="2F9CEEB9"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-паушальный (единовременный); </w:t>
      </w:r>
    </w:p>
    <w:p w14:paraId="327F0A65"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-роялти (периодические отчисления); </w:t>
      </w:r>
    </w:p>
    <w:p w14:paraId="4EBEA0B4"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-комбинированные платежи; </w:t>
      </w:r>
    </w:p>
    <w:p w14:paraId="0227F555"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Паушальные платежи часто применяются тогда, когда нельзя проконтролировать объём выпущенной по лицензии продукции или покупатель лицензии – малоизвестная фирма, и неизвестно, удастся ли ей наладить выпуск продукции по лицензии. Иногда паушальный платёж предусматривается вразбивку, по мере выполнения этапов работы. Обычно первая часть паушального платежа производится в разумные сроки после подписания договора и составляет 10..25% от общей суммы. Остальные части выплачиваются поэтапно – например, после отгрузки оборудования, предоставления документации, оказания технической помощи и т.п. </w:t>
      </w:r>
    </w:p>
    <w:p w14:paraId="51FB6C7C"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Роялти выплачиваются периодически в течение срока действия договора в размере определённого процента от какого-либо базового показателя – экономического эффекта, прибыли, объёма реализации, оборота и т.д. Наиболее часто в качестве базового показателя используют объём реализации в денежном выражении. Прибыль используется реже, т.к. она зависит от многих факторов. </w:t>
      </w:r>
    </w:p>
    <w:p w14:paraId="357DAA24"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lastRenderedPageBreak/>
        <w:t xml:space="preserve">При определении ставки роялти устанавливают верхний и нижний пределы, в рамках которых выбирается приемлемая для сторон величина. Наиболее высокие ставки роялти, до 30% ежегодных отчислений, устанавливаются, когда предмет лицензии надёжно защищён блоком патентов в ряде стран мира. Продажа незапатентованной разработки, ноу-хау, значительно снижает цену лицензии, т.к. в этом случае сохранить и защитить проданную информацию крайне трудно. На ставку роялти влияет также объём оборота, вид лицензии, сроки договора, возможность контролировать выпуск продукции по лицензии. </w:t>
      </w:r>
    </w:p>
    <w:p w14:paraId="30F4F06F"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Договором могут быть предусмотрены минимальные гарантированные платежи, обеспечивающие возмещение лицензиару независимо от прибыли лицензиата. </w:t>
      </w:r>
    </w:p>
    <w:p w14:paraId="3FB8A57F"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Комбинированные платежи – это сочетание паушального платежа в размере 10..20% от цены лицензии с последующей выплатой роялти. В этом случае паушальный платёж служит авансом, выплачиваемым лицензиару после передачи технической документации. </w:t>
      </w:r>
    </w:p>
    <w:p w14:paraId="29B1C471"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В лицензионном договоре оговаривают валюту расчёта и валюту платежей (валютные оговорки).</w:t>
      </w:r>
    </w:p>
    <w:p w14:paraId="23C9EB95"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p>
    <w:p w14:paraId="145F8661" w14:textId="28CCF5C1" w:rsidR="00AE1B12" w:rsidRPr="00AE1B12" w:rsidRDefault="00AE1B12" w:rsidP="00AE1B12">
      <w:pPr>
        <w:keepNext/>
        <w:spacing w:after="0" w:line="240" w:lineRule="auto"/>
        <w:ind w:firstLine="872"/>
        <w:jc w:val="center"/>
        <w:outlineLvl w:val="1"/>
        <w:rPr>
          <w:rFonts w:ascii="Times New Roman" w:eastAsia="Times New Roman" w:hAnsi="Times New Roman" w:cs="Times New Roman"/>
          <w:b/>
          <w:sz w:val="28"/>
          <w:szCs w:val="28"/>
          <w:lang w:val="ru-RU" w:eastAsia="ru-RU"/>
        </w:rPr>
      </w:pPr>
      <w:bookmarkStart w:id="4" w:name="_Toc276932490"/>
      <w:r w:rsidRPr="00AE1B12">
        <w:rPr>
          <w:rFonts w:ascii="Times New Roman" w:eastAsia="Times New Roman" w:hAnsi="Times New Roman" w:cs="Times New Roman"/>
          <w:b/>
          <w:sz w:val="28"/>
          <w:szCs w:val="28"/>
          <w:lang w:val="ru-RU" w:eastAsia="ru-RU"/>
        </w:rPr>
        <w:t>1</w:t>
      </w:r>
      <w:r w:rsidR="00233A7F">
        <w:rPr>
          <w:rFonts w:ascii="Times New Roman" w:eastAsia="Times New Roman" w:hAnsi="Times New Roman" w:cs="Times New Roman"/>
          <w:b/>
          <w:sz w:val="28"/>
          <w:szCs w:val="28"/>
          <w:lang w:val="ru-RU" w:eastAsia="ru-RU"/>
        </w:rPr>
        <w:t>5</w:t>
      </w:r>
      <w:r w:rsidRPr="00AE1B12">
        <w:rPr>
          <w:rFonts w:ascii="Times New Roman" w:eastAsia="Times New Roman" w:hAnsi="Times New Roman" w:cs="Times New Roman"/>
          <w:b/>
          <w:sz w:val="28"/>
          <w:szCs w:val="28"/>
          <w:lang w:val="ru-RU" w:eastAsia="ru-RU"/>
        </w:rPr>
        <w:t>.5 Передача товарного знака</w:t>
      </w:r>
      <w:bookmarkEnd w:id="4"/>
    </w:p>
    <w:p w14:paraId="2FB2E326"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p>
    <w:p w14:paraId="7CC0ED36"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Исключительное право на товарный знак в отношении всех или части товаров может быть передано правообладателем другому юридическому лицу или физическому лицу по договору о передаче исключительного права на товарный знак (договору об уступке товарного знака). Уступка товарного знака не допускается, если она может явиться причиной введения в заблуждение потребителя относительно товара или его изготовителя. </w:t>
      </w:r>
    </w:p>
    <w:p w14:paraId="10592A9B"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Право на использование товарного знака может быть предоставлено по лицензионному договору в отношении всех или части товаров, для которых он зарегистрирован. Лицензионный договор должен содержать условие о том, что качество товаров лицензиата будет не ниже качества товаров лицензиара и что лицензиар будет контролировать выполнение этого условия. </w:t>
      </w:r>
    </w:p>
    <w:p w14:paraId="47C424B2"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Договор о передаче исключительного права на товарный знак (договор об уступке товарного знака) и лицензионный договор регистрируются в федеральном органе исполнительной власти по интеллектуальной собственности. Без этой регистрации указанные договоры считаются недействительными. </w:t>
      </w:r>
    </w:p>
    <w:p w14:paraId="4AC096D5"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t xml:space="preserve">Права на товарный знак могут быть переданы по договору коммерческой концессии (фрайчайзингу). По франчайзингу правообладатель предоставляет, в частности, другому предпринимателю за вознаграждение право использовать свои средства индивидуализации, передает охраняемую коммерческую информацию и оказывает консультационное воздействие в организации бизнеса. Коммерческая концессия может быть производственная, сбытовая и в сфере обслуживания. </w:t>
      </w:r>
    </w:p>
    <w:p w14:paraId="59673EDF"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r w:rsidRPr="00AE1B12">
        <w:rPr>
          <w:rFonts w:ascii="Times New Roman" w:eastAsia="Times New Roman" w:hAnsi="Times New Roman" w:cs="Times New Roman"/>
          <w:sz w:val="28"/>
          <w:szCs w:val="28"/>
          <w:lang w:val="ru-RU" w:eastAsia="ru-RU"/>
        </w:rPr>
        <w:lastRenderedPageBreak/>
        <w:t>Договор коммерческой концессии позволяет расширять бизнес с минимальными затратами правообладателя, снизить предпринимательский риск правопреемника, ускорить окупаемость капиталовложений.</w:t>
      </w:r>
    </w:p>
    <w:p w14:paraId="68E3D484"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p>
    <w:p w14:paraId="075CAE30" w14:textId="4C9DE789" w:rsidR="00AE1B12" w:rsidRPr="00AE1B12" w:rsidRDefault="00AE1B12" w:rsidP="00AE1B12">
      <w:pPr>
        <w:keepNext/>
        <w:spacing w:after="0" w:line="240" w:lineRule="auto"/>
        <w:ind w:firstLine="872"/>
        <w:jc w:val="center"/>
        <w:outlineLvl w:val="1"/>
        <w:rPr>
          <w:rFonts w:ascii="Times New Roman" w:eastAsia="Times New Roman" w:hAnsi="Times New Roman" w:cs="Times New Roman"/>
          <w:b/>
          <w:sz w:val="28"/>
          <w:szCs w:val="28"/>
          <w:lang w:val="ru-RU" w:eastAsia="ru-RU"/>
        </w:rPr>
      </w:pPr>
      <w:bookmarkStart w:id="5" w:name="_Toc276932491"/>
      <w:r w:rsidRPr="00AE1B12">
        <w:rPr>
          <w:rFonts w:ascii="Times New Roman" w:eastAsia="Times New Roman" w:hAnsi="Times New Roman" w:cs="Times New Roman"/>
          <w:b/>
          <w:sz w:val="28"/>
          <w:szCs w:val="28"/>
          <w:lang w:val="ru-RU" w:eastAsia="ru-RU"/>
        </w:rPr>
        <w:t>1</w:t>
      </w:r>
      <w:r w:rsidR="00233A7F">
        <w:rPr>
          <w:rFonts w:ascii="Times New Roman" w:eastAsia="Times New Roman" w:hAnsi="Times New Roman" w:cs="Times New Roman"/>
          <w:b/>
          <w:sz w:val="28"/>
          <w:szCs w:val="28"/>
          <w:lang w:val="ru-RU" w:eastAsia="ru-RU"/>
        </w:rPr>
        <w:t>5</w:t>
      </w:r>
      <w:r w:rsidRPr="00AE1B12">
        <w:rPr>
          <w:rFonts w:ascii="Times New Roman" w:eastAsia="Times New Roman" w:hAnsi="Times New Roman" w:cs="Times New Roman"/>
          <w:b/>
          <w:sz w:val="28"/>
          <w:szCs w:val="28"/>
          <w:lang w:val="ru-RU" w:eastAsia="ru-RU"/>
        </w:rPr>
        <w:t xml:space="preserve">.6 </w:t>
      </w:r>
      <w:bookmarkStart w:id="6" w:name="_Hlk62500530"/>
      <w:r w:rsidRPr="00AE1B12">
        <w:rPr>
          <w:rFonts w:ascii="Times New Roman" w:eastAsia="Times New Roman" w:hAnsi="Times New Roman" w:cs="Times New Roman"/>
          <w:b/>
          <w:sz w:val="28"/>
          <w:szCs w:val="28"/>
          <w:lang w:val="ru-RU" w:eastAsia="ru-RU"/>
        </w:rPr>
        <w:t>Комплексная предпринимательская лицензия (франчайзинг)</w:t>
      </w:r>
      <w:bookmarkEnd w:id="5"/>
      <w:bookmarkEnd w:id="6"/>
    </w:p>
    <w:p w14:paraId="09931FF0" w14:textId="77777777" w:rsidR="00AE1B12" w:rsidRPr="00AE1B12" w:rsidRDefault="00AE1B12" w:rsidP="00AE1B12">
      <w:pPr>
        <w:spacing w:after="0" w:line="240" w:lineRule="auto"/>
        <w:ind w:firstLine="709"/>
        <w:jc w:val="both"/>
        <w:rPr>
          <w:rFonts w:ascii="Times New Roman" w:eastAsia="Times New Roman" w:hAnsi="Times New Roman" w:cs="Times New Roman"/>
          <w:b/>
          <w:sz w:val="28"/>
          <w:szCs w:val="28"/>
          <w:lang w:val="ru-RU" w:eastAsia="ru-RU"/>
        </w:rPr>
      </w:pPr>
    </w:p>
    <w:p w14:paraId="6C3CEC03" w14:textId="77777777" w:rsidR="00AE1B12" w:rsidRPr="00AE1B12" w:rsidRDefault="00AE1B12" w:rsidP="00AE1B12">
      <w:pPr>
        <w:spacing w:after="0" w:line="240" w:lineRule="auto"/>
        <w:ind w:firstLine="709"/>
        <w:jc w:val="both"/>
        <w:rPr>
          <w:rFonts w:ascii="Times New Roman" w:eastAsia="Times New Roman" w:hAnsi="Times New Roman" w:cs="Times New Roman"/>
          <w:color w:val="000000"/>
          <w:sz w:val="28"/>
          <w:szCs w:val="28"/>
          <w:lang w:val="ru-RU" w:eastAsia="ru-RU"/>
        </w:rPr>
      </w:pPr>
      <w:r w:rsidRPr="00AE1B12">
        <w:rPr>
          <w:rFonts w:ascii="Times New Roman" w:eastAsia="Times New Roman" w:hAnsi="Times New Roman" w:cs="Times New Roman"/>
          <w:color w:val="000000"/>
          <w:sz w:val="28"/>
          <w:szCs w:val="28"/>
          <w:lang w:val="ru-RU" w:eastAsia="ru-RU"/>
        </w:rPr>
        <w:t>Термин «франчайзинг» происходит от французского слова «franchise», что означает «льгота, привилегия». Самая ценная и полезная льгота, которая нужна начинающему свой путь в бизнесе, это возможность использовать уже отработанные и оправдавшие себя технологии, уже известный и популярный товарный знак, возможность обучиться и получать по ходу дела необходимые консультации. Франчайзинг - это метод продажи товаров и услуг. Система франчайзинга возникла из набора деловых сделок, методов и практической деятельности, которые были известны и использовались на протяжении многих лет.</w:t>
      </w:r>
    </w:p>
    <w:p w14:paraId="78372746" w14:textId="77777777" w:rsidR="00AE1B12" w:rsidRPr="00AE1B12" w:rsidRDefault="00AE1B12" w:rsidP="00AE1B12">
      <w:pPr>
        <w:spacing w:after="0" w:line="240" w:lineRule="auto"/>
        <w:ind w:firstLine="709"/>
        <w:jc w:val="both"/>
        <w:rPr>
          <w:rFonts w:ascii="Times New Roman" w:eastAsia="Times New Roman" w:hAnsi="Times New Roman" w:cs="Times New Roman"/>
          <w:color w:val="000000"/>
          <w:sz w:val="28"/>
          <w:szCs w:val="28"/>
          <w:lang w:val="ru-RU" w:eastAsia="ru-RU"/>
        </w:rPr>
      </w:pPr>
      <w:r w:rsidRPr="00AE1B12">
        <w:rPr>
          <w:rFonts w:ascii="Times New Roman" w:eastAsia="Times New Roman" w:hAnsi="Times New Roman" w:cs="Times New Roman"/>
          <w:color w:val="000000"/>
          <w:sz w:val="28"/>
          <w:szCs w:val="28"/>
          <w:lang w:val="ru-RU" w:eastAsia="ru-RU"/>
        </w:rPr>
        <w:t>Если обратиться к истории, то можно найти примеры торговой практики, напоминающие франчайзинг. Один из таких примеров - учреждение системы гильдии в Лондонском Сити в XII веке. Если использовать точные правовые термины, слово «франшиза» означает передачу прав от имени короля, а в других странах, например, в США и Австралии, в соответствии с формулировками судебных органов, слово «франшиза» означает передачу прав государственной властью. По сей день в Великобритании существуют древние франшизы, дающие право проводить ярмарки, содержать рынки, предоставлять паромы, мосты и сооружать броды через реки и водные потоки.</w:t>
      </w:r>
    </w:p>
    <w:p w14:paraId="76EA8FC1" w14:textId="77777777" w:rsidR="00AE1B12" w:rsidRPr="00AE1B12" w:rsidRDefault="00AE1B12" w:rsidP="00AE1B12">
      <w:pPr>
        <w:spacing w:after="0" w:line="240" w:lineRule="auto"/>
        <w:ind w:firstLine="709"/>
        <w:jc w:val="both"/>
        <w:rPr>
          <w:rFonts w:ascii="Times New Roman" w:eastAsia="Times New Roman" w:hAnsi="Times New Roman" w:cs="Times New Roman"/>
          <w:color w:val="000000"/>
          <w:sz w:val="28"/>
          <w:szCs w:val="28"/>
          <w:lang w:val="ru-RU" w:eastAsia="ru-RU"/>
        </w:rPr>
      </w:pPr>
      <w:r w:rsidRPr="00AE1B12">
        <w:rPr>
          <w:rFonts w:ascii="Times New Roman" w:eastAsia="Times New Roman" w:hAnsi="Times New Roman" w:cs="Times New Roman"/>
          <w:color w:val="000000"/>
          <w:sz w:val="28"/>
          <w:szCs w:val="28"/>
          <w:lang w:val="ru-RU" w:eastAsia="ru-RU"/>
        </w:rPr>
        <w:t>Современные приемы франчайзинга получили свое начало в США, когда в XIX веке после Гражданской войны компания по производству швейных машин «Зингер» учредила дилерскую сеть. Однако, техника франчайзинга не возникла сиюминутно, благодаря изобретательности какого-то индивида с богатым воображением. Она возникла из решений, разработанных бизнесменами, когда они встречались с проблемами при проведении деловых операций. Можно сказать, что в начале XX века автомобили и безалкогольные напитки стали катализаторами франчайзинговой деятельности, затем было затишье вплоть до 30-х годов, когда Говард Джонсон открыл свою знаменитую сеть ресторанов в США, а 40-е и 50-е годы увидели рождение многих современных гигантов, работающих в рамках системы франчайзингового предпринимательства («Макдональдс», «Холидэй Инн», «Шератон», «Пицца Хат» и др.).</w:t>
      </w:r>
    </w:p>
    <w:p w14:paraId="1F99CB89" w14:textId="77777777" w:rsidR="00AE1B12" w:rsidRPr="00AE1B12" w:rsidRDefault="00AE1B12" w:rsidP="00AE1B12">
      <w:pPr>
        <w:spacing w:after="0" w:line="240" w:lineRule="auto"/>
        <w:ind w:firstLine="709"/>
        <w:jc w:val="both"/>
        <w:rPr>
          <w:rFonts w:ascii="Times New Roman" w:eastAsia="Times New Roman" w:hAnsi="Times New Roman" w:cs="Times New Roman"/>
          <w:color w:val="000000"/>
          <w:sz w:val="28"/>
          <w:szCs w:val="28"/>
          <w:lang w:val="ru-RU" w:eastAsia="ru-RU"/>
        </w:rPr>
      </w:pPr>
      <w:r w:rsidRPr="00AE1B12">
        <w:rPr>
          <w:rFonts w:ascii="Times New Roman" w:eastAsia="Times New Roman" w:hAnsi="Times New Roman" w:cs="Times New Roman"/>
          <w:color w:val="000000"/>
          <w:sz w:val="28"/>
          <w:szCs w:val="28"/>
          <w:lang w:val="ru-RU" w:eastAsia="ru-RU"/>
        </w:rPr>
        <w:t xml:space="preserve">Сейчас система франчайзинговой предпринимательской деятельности широко известна и активно применяется в промышленно развитых странах мира. По этому договору одна сторона передает другой в пользование за плату такие знаки индивидуализации, как фирменное наименование, товарный знак и т.п. Франчайзинг является выгодным для обеих сторон. Сторона, предоставляющая свои права в пользование, устанавливает в той или иной мере контроль за бизнесом лицензиата, имея прибыль от его деятельности. Франчайзинг избавляет комплексного лицензиара от необходимости </w:t>
      </w:r>
      <w:r w:rsidRPr="00AE1B12">
        <w:rPr>
          <w:rFonts w:ascii="Times New Roman" w:eastAsia="Times New Roman" w:hAnsi="Times New Roman" w:cs="Times New Roman"/>
          <w:color w:val="000000"/>
          <w:sz w:val="28"/>
          <w:szCs w:val="28"/>
          <w:lang w:val="ru-RU" w:eastAsia="ru-RU"/>
        </w:rPr>
        <w:lastRenderedPageBreak/>
        <w:t>открывать новые филиалы и предприятия, вкладывать средства в приобретение основных фондов и наем работников. Лицензиат, в свою очередь, снижает свой предпринимательский риск и ускоряет окупаемость капиталовложений. Он получает преимущество перед конкурентами за счет использования уже известных на рынке средств индивидуализации чужого юридического лица.</w:t>
      </w:r>
    </w:p>
    <w:p w14:paraId="6A221A50" w14:textId="77777777" w:rsidR="00AE1B12" w:rsidRPr="00AE1B12" w:rsidRDefault="00AE1B12" w:rsidP="00AE1B12">
      <w:pPr>
        <w:spacing w:after="0" w:line="240" w:lineRule="auto"/>
        <w:ind w:firstLine="709"/>
        <w:jc w:val="both"/>
        <w:rPr>
          <w:rFonts w:ascii="Times New Roman" w:eastAsia="Times New Roman" w:hAnsi="Times New Roman" w:cs="Times New Roman"/>
          <w:color w:val="000000"/>
          <w:sz w:val="28"/>
          <w:szCs w:val="28"/>
          <w:lang w:val="ru-RU" w:eastAsia="ru-RU"/>
        </w:rPr>
      </w:pPr>
      <w:r w:rsidRPr="00AE1B12">
        <w:rPr>
          <w:rFonts w:ascii="Times New Roman" w:eastAsia="Times New Roman" w:hAnsi="Times New Roman" w:cs="Times New Roman"/>
          <w:color w:val="000000"/>
          <w:sz w:val="28"/>
          <w:szCs w:val="28"/>
          <w:lang w:val="ru-RU" w:eastAsia="ru-RU"/>
        </w:rPr>
        <w:t>Для потребителей франчайзинг выгоден возможностью быстрого насыщения рынка товарами и услугами. Для государства - повышением деловой активности и пополнением бюджета. Но есть и потенциально негативные моменты. Лицензиат выступает в гражданском обороте под чужим именем и с чужими знаками индивидуализации. Это может ввести в заблуждение потребителя. Поэтому законодательное регламентирование договора комплексной предпринимательской лицензии направлено на защиту прав потребителей. Этой цели отвечают нормы об обязанности лицензиата информировать покупателей (заказчиков) наиболее очевидным для них способом о том, что он использует фирменное наименование, товарный знак, знак обслуживания или иное средство индивидуализации на основании договора комплексной предпринимательской лицензии и о дополнительной ответственности лицензиара по требованиям, предъявляемым к лицензиату, о несоответствии качества товаров (работ, услуг), продаваемых (выполняемых, оказываемых) лицензиатом.</w:t>
      </w:r>
    </w:p>
    <w:p w14:paraId="39585D35" w14:textId="77777777" w:rsidR="00AE1B12" w:rsidRPr="00AE1B12" w:rsidRDefault="00AE1B12" w:rsidP="00AE1B12">
      <w:pPr>
        <w:spacing w:after="0" w:line="240" w:lineRule="auto"/>
        <w:ind w:firstLine="709"/>
        <w:jc w:val="both"/>
        <w:rPr>
          <w:rFonts w:ascii="Times New Roman" w:eastAsia="Times New Roman" w:hAnsi="Times New Roman" w:cs="Times New Roman"/>
          <w:color w:val="000000"/>
          <w:sz w:val="28"/>
          <w:szCs w:val="28"/>
          <w:lang w:val="ru-RU" w:eastAsia="ru-RU"/>
        </w:rPr>
      </w:pPr>
      <w:r w:rsidRPr="00AE1B12">
        <w:rPr>
          <w:rFonts w:ascii="Times New Roman" w:eastAsia="Times New Roman" w:hAnsi="Times New Roman" w:cs="Times New Roman"/>
          <w:color w:val="000000"/>
          <w:sz w:val="28"/>
          <w:szCs w:val="28"/>
          <w:lang w:val="ru-RU" w:eastAsia="ru-RU"/>
        </w:rPr>
        <w:t>Создание франчайзинговых сетей имеет определенную опасность для потребительского рынка и в связи с тенденцией к монополизму и ограничению прав лицензиата. Противодействию такой тенденции служат ограничительные условия предусмотренные ст.900 Гражданского кодекса Республики Казахстан (далее – ГК РК), которые, наряду с антимонопольным законодательством устанавливают рамки франчайзингового соглашения. Это еще один довод к нормативному урегулированию договора комплексной предпринимательской лицензии. И, наконец, нормативное регламентирование данного договора позволяет активизировать его распространение на практике.</w:t>
      </w:r>
    </w:p>
    <w:p w14:paraId="0DFC948C" w14:textId="77777777" w:rsidR="00AE1B12" w:rsidRPr="00AE1B12" w:rsidRDefault="00AE1B12" w:rsidP="00AE1B12">
      <w:pPr>
        <w:spacing w:after="0" w:line="240" w:lineRule="auto"/>
        <w:ind w:firstLine="709"/>
        <w:jc w:val="both"/>
        <w:rPr>
          <w:rFonts w:ascii="Times New Roman" w:eastAsia="Times New Roman" w:hAnsi="Times New Roman" w:cs="Times New Roman"/>
          <w:color w:val="000000"/>
          <w:sz w:val="28"/>
          <w:szCs w:val="28"/>
          <w:lang w:val="ru-RU" w:eastAsia="ru-RU"/>
        </w:rPr>
      </w:pPr>
      <w:r w:rsidRPr="00AE1B12">
        <w:rPr>
          <w:rFonts w:ascii="Times New Roman" w:eastAsia="Times New Roman" w:hAnsi="Times New Roman" w:cs="Times New Roman"/>
          <w:color w:val="000000"/>
          <w:sz w:val="28"/>
          <w:szCs w:val="28"/>
          <w:lang w:val="ru-RU" w:eastAsia="ru-RU"/>
        </w:rPr>
        <w:t>С точки зрения правовой классификации в казахстанском законодательстве договор франчайзинга и договор комплексной предпринимательской лицензии, будучи синонимами, являются разновидностью лицензионного договора в сфере интеллектуальной собственности. Поэтому на объекты интеллектуальной собственности, пользование которыми передается по договору комплексной предпринимательской лицензии, распространяются нормы раздела 5 ГК РК «Право интеллектуальной собственности» и соответствующее специальное законодательство об авторских правах.</w:t>
      </w:r>
    </w:p>
    <w:p w14:paraId="2DDB6D9E" w14:textId="77777777" w:rsidR="00AE1B12" w:rsidRPr="00AE1B12" w:rsidRDefault="00AE1B12" w:rsidP="00AE1B12">
      <w:pPr>
        <w:spacing w:after="0" w:line="240" w:lineRule="auto"/>
        <w:ind w:firstLine="709"/>
        <w:jc w:val="both"/>
        <w:rPr>
          <w:rFonts w:ascii="Times New Roman" w:eastAsia="Times New Roman" w:hAnsi="Times New Roman" w:cs="Times New Roman"/>
          <w:color w:val="000000"/>
          <w:sz w:val="28"/>
          <w:szCs w:val="28"/>
          <w:lang w:val="ru-RU" w:eastAsia="ru-RU"/>
        </w:rPr>
      </w:pPr>
      <w:r w:rsidRPr="00AE1B12">
        <w:rPr>
          <w:rFonts w:ascii="Times New Roman" w:eastAsia="Times New Roman" w:hAnsi="Times New Roman" w:cs="Times New Roman"/>
          <w:color w:val="000000"/>
          <w:sz w:val="28"/>
          <w:szCs w:val="28"/>
          <w:lang w:val="ru-RU" w:eastAsia="ru-RU"/>
        </w:rPr>
        <w:t xml:space="preserve">Термин «комплексная предпринимательская лицензия» является достаточно условным и использован законодателем, чтобы выделить данную группу правоотношений. Поскольку в большинстве стран мира используется термин франчайзинг, казахстанский законодатель, упомянув данный термин в скобках в названии главы ГК, показал, что комплексной предпринимательской </w:t>
      </w:r>
      <w:r w:rsidRPr="00AE1B12">
        <w:rPr>
          <w:rFonts w:ascii="Times New Roman" w:eastAsia="Times New Roman" w:hAnsi="Times New Roman" w:cs="Times New Roman"/>
          <w:color w:val="000000"/>
          <w:sz w:val="28"/>
          <w:szCs w:val="28"/>
          <w:lang w:val="ru-RU" w:eastAsia="ru-RU"/>
        </w:rPr>
        <w:lastRenderedPageBreak/>
        <w:t>лицензией в Республике Казахстан называется франчайзинг. Тем самым проведена некоторая унификация с мировым законодательством.</w:t>
      </w:r>
    </w:p>
    <w:p w14:paraId="5609070F" w14:textId="77777777" w:rsidR="00AE1B12" w:rsidRPr="00AE1B12" w:rsidRDefault="00AE1B12" w:rsidP="00AE1B12">
      <w:pPr>
        <w:spacing w:after="0" w:line="240" w:lineRule="auto"/>
        <w:ind w:firstLine="709"/>
        <w:jc w:val="both"/>
        <w:rPr>
          <w:rFonts w:ascii="Times New Roman" w:eastAsia="Times New Roman" w:hAnsi="Times New Roman" w:cs="Times New Roman"/>
          <w:color w:val="000000"/>
          <w:sz w:val="28"/>
          <w:szCs w:val="28"/>
          <w:lang w:val="ru-RU" w:eastAsia="ru-RU"/>
        </w:rPr>
      </w:pPr>
      <w:r w:rsidRPr="00AE1B12">
        <w:rPr>
          <w:rFonts w:ascii="Times New Roman" w:eastAsia="Times New Roman" w:hAnsi="Times New Roman" w:cs="Times New Roman"/>
          <w:color w:val="000000"/>
          <w:sz w:val="28"/>
          <w:szCs w:val="28"/>
          <w:lang w:val="ru-RU" w:eastAsia="ru-RU"/>
        </w:rPr>
        <w:t>Понятие «лицензия» неоднозначно и в смысле Главы 45 ГК РК не совпадает с понятием лицензии, являющейся предметом регулирования в Указе Президента Республики Казахстан, имеющем силу Закона, от 17 апреля 1995 года N 2200 «О лицензировании» (в дальнейшем - Указ «О лицензировании»). В соответствии с п.2 ст.1 Указа «О лицензировании» «не регулируются настоящим Указом отношения, связанные с выдачей лицензий в рамках заключенного между гражданами и (или) юридическими лицами лицензионного договора». Комплексная предпринимательская лицензия как раз и представляет собой разновидность лицензионного договора в рамках и смысле Раздела 5 ГК РК «Право интеллектуальной собственности». «По лицензионному договору сторона, обладающая исключительным правом на результат интеллектуальной деятельности или на средство индивидуализации (лицензиар), предоставляет другой стороне (лицензиату) право временно использовать соответствующий объект интеллектуальной собственности определенным способом». Из данного понимания лицензионного договора вытекает понятие лицензии, используемой в договоре комплексной предпринимательской лицензии (в дальнейшем для краткости изложения - договор франчайзинга).</w:t>
      </w:r>
    </w:p>
    <w:p w14:paraId="3360C149" w14:textId="77777777" w:rsidR="00AE1B12" w:rsidRPr="00AE1B12" w:rsidRDefault="00AE1B12" w:rsidP="00AE1B12">
      <w:pPr>
        <w:spacing w:after="0" w:line="240" w:lineRule="auto"/>
        <w:ind w:firstLine="709"/>
        <w:jc w:val="both"/>
        <w:rPr>
          <w:rFonts w:ascii="Times New Roman" w:eastAsia="Times New Roman" w:hAnsi="Times New Roman" w:cs="Times New Roman"/>
          <w:color w:val="000000"/>
          <w:sz w:val="28"/>
          <w:szCs w:val="28"/>
          <w:lang w:val="ru-RU" w:eastAsia="ru-RU"/>
        </w:rPr>
      </w:pPr>
      <w:r w:rsidRPr="00AE1B12">
        <w:rPr>
          <w:rFonts w:ascii="Times New Roman" w:eastAsia="Times New Roman" w:hAnsi="Times New Roman" w:cs="Times New Roman"/>
          <w:color w:val="000000"/>
          <w:sz w:val="28"/>
          <w:szCs w:val="28"/>
          <w:lang w:val="ru-RU" w:eastAsia="ru-RU"/>
        </w:rPr>
        <w:t>Во франчайзинге речь идет не просто о лицензии, а о предпринимательской лицензии. То есть, данный договор возможен только в сфере предпринимательской деятельности - инициативной деятельности, имеющей в качестве основной цели извлечение прибыли. Отсюда следует, что сторонами договора могут быть только предприниматели. Термин «комплексная» означает то, что в пользование передается не одно, а несколько (но не менее двух) исключительных и сопутствующим им прав.</w:t>
      </w:r>
    </w:p>
    <w:p w14:paraId="21E3EA82" w14:textId="77777777" w:rsidR="00AE1B12" w:rsidRPr="00AE1B12" w:rsidRDefault="00AE1B12" w:rsidP="00AE1B12">
      <w:pPr>
        <w:spacing w:after="0" w:line="240" w:lineRule="auto"/>
        <w:ind w:firstLine="709"/>
        <w:jc w:val="both"/>
        <w:rPr>
          <w:rFonts w:ascii="Times New Roman" w:eastAsia="Times New Roman" w:hAnsi="Times New Roman" w:cs="Times New Roman"/>
          <w:color w:val="000000"/>
          <w:sz w:val="28"/>
          <w:szCs w:val="28"/>
          <w:lang w:val="ru-RU" w:eastAsia="ru-RU"/>
        </w:rPr>
      </w:pPr>
      <w:r w:rsidRPr="00AE1B12">
        <w:rPr>
          <w:rFonts w:ascii="Times New Roman" w:eastAsia="Times New Roman" w:hAnsi="Times New Roman" w:cs="Times New Roman"/>
          <w:color w:val="000000"/>
          <w:sz w:val="28"/>
          <w:szCs w:val="28"/>
          <w:lang w:val="ru-RU" w:eastAsia="ru-RU"/>
        </w:rPr>
        <w:t>Сторонами по договору комплексной предпринимательской лицензии могут быть только коммерческие организации и граждане, зарегистрированные в качестве индивидуальных предпринимателей. Стороной в договоре, предоставляющей комплекс исключительных прав, является комплексный лицензиар, а получателем - комплексный лицензиат. Такая терминология соответствует сторонам лицензионного договора - лицензиару и лицензиату - с добавлением индивидуализирующей специфики в определении понятия договора комплексной предпринимательской лицензии «комплексный».</w:t>
      </w:r>
    </w:p>
    <w:p w14:paraId="3FA840AA" w14:textId="77777777" w:rsidR="00AE1B12" w:rsidRPr="00AE1B12" w:rsidRDefault="00AE1B12" w:rsidP="00AE1B12">
      <w:pPr>
        <w:spacing w:after="0" w:line="240" w:lineRule="auto"/>
        <w:ind w:firstLine="709"/>
        <w:jc w:val="both"/>
        <w:rPr>
          <w:rFonts w:ascii="Times New Roman" w:eastAsia="Times New Roman" w:hAnsi="Times New Roman" w:cs="Times New Roman"/>
          <w:color w:val="000000"/>
          <w:sz w:val="28"/>
          <w:szCs w:val="28"/>
          <w:lang w:val="ru-RU" w:eastAsia="ru-RU"/>
        </w:rPr>
      </w:pPr>
      <w:r w:rsidRPr="00AE1B12">
        <w:rPr>
          <w:rFonts w:ascii="Times New Roman" w:eastAsia="Times New Roman" w:hAnsi="Times New Roman" w:cs="Times New Roman"/>
          <w:color w:val="000000"/>
          <w:sz w:val="28"/>
          <w:szCs w:val="28"/>
          <w:lang w:val="ru-RU" w:eastAsia="ru-RU"/>
        </w:rPr>
        <w:t xml:space="preserve">Договор франчайзинга является возмездным. Форма, способ и сроки оплаты пользования исключительными правами определяются сторонами по договору. Вознаграждение по договору комплексной предпринимательской лицензии может выплачиваться лицензиатом лицензиару в форме фиксированных разовых или периодических платежей, отчислений от выручки, наценки на оптовую цену товаров, передаваемых лицензиаром для перепродажи, или в иной форме, предусмотренной договором. В мировой практике наиболее распространенным является первоначальный взнос фиксированной суммой сразу после заключения договора (так называемый </w:t>
      </w:r>
      <w:r w:rsidRPr="00AE1B12">
        <w:rPr>
          <w:rFonts w:ascii="Times New Roman" w:eastAsia="Times New Roman" w:hAnsi="Times New Roman" w:cs="Times New Roman"/>
          <w:color w:val="000000"/>
          <w:sz w:val="28"/>
          <w:szCs w:val="28"/>
          <w:lang w:val="ru-RU" w:eastAsia="ru-RU"/>
        </w:rPr>
        <w:lastRenderedPageBreak/>
        <w:t>«паушальный платеж»), а затем повременные отчисления в определенном проценте от суммы оборота товаров, услуг, работ (так называемые «роялти»). Кроме того, за предоставленные комплексные предпринимательские сублицензии лицензиат обычно выплачивает лицензиару определенный процент от оборота сублицензиата. В мировой практике франчайзинговая деятельность, имеющая низкие затраты начального периода (примерно между 25000 долл. и 50000 долл.), финансируется собственным капиталом или в сочетании с краткосрочными банковскими кредитами. При наличии более высоких затрат часто используются долгосрочные обычные или компенсационные кредиты. В некоторых случаях лицензиар предоставляет часть финансирования своим лицензиатам посредством выпуска долговых обязательств для проведения начальной подготовки персонала и выплаты цены за приобретение лицензионного комплекса, а также для покупки исходных товарно-материальных запасов.</w:t>
      </w:r>
    </w:p>
    <w:p w14:paraId="34C57F84" w14:textId="77777777" w:rsidR="00AE1B12" w:rsidRPr="00AE1B12" w:rsidRDefault="00AE1B12" w:rsidP="00AE1B12">
      <w:pPr>
        <w:spacing w:after="0" w:line="240" w:lineRule="auto"/>
        <w:ind w:firstLine="709"/>
        <w:jc w:val="both"/>
        <w:rPr>
          <w:rFonts w:ascii="Times New Roman" w:eastAsia="Times New Roman" w:hAnsi="Times New Roman" w:cs="Times New Roman"/>
          <w:color w:val="000000"/>
          <w:sz w:val="28"/>
          <w:szCs w:val="28"/>
          <w:lang w:val="ru-RU" w:eastAsia="ru-RU"/>
        </w:rPr>
      </w:pPr>
      <w:r w:rsidRPr="00AE1B12">
        <w:rPr>
          <w:rFonts w:ascii="Times New Roman" w:eastAsia="Times New Roman" w:hAnsi="Times New Roman" w:cs="Times New Roman"/>
          <w:color w:val="000000"/>
          <w:sz w:val="28"/>
          <w:szCs w:val="28"/>
          <w:lang w:val="ru-RU" w:eastAsia="ru-RU"/>
        </w:rPr>
        <w:t>Объектом договора являются исключительные права. «Исключительным правом на результат интеллектуальной деятельности или средство индивидуализации признается имущественное право их обладателя использовать объект интеллектуальной собственности любым способом по своему усмотрению». В то же время следует понимать, что «исключительное право на результат интеллектуальной деятельности или средство индивидуализации существует независимо от права собственности на материальный объект, в котором такой результат или средство индивидуализации выражены».</w:t>
      </w:r>
    </w:p>
    <w:p w14:paraId="17B9C8EA" w14:textId="77777777" w:rsidR="00AE1B12" w:rsidRPr="00AE1B12" w:rsidRDefault="00AE1B12" w:rsidP="00AE1B12">
      <w:pPr>
        <w:spacing w:after="0" w:line="240" w:lineRule="auto"/>
        <w:ind w:firstLine="709"/>
        <w:jc w:val="both"/>
        <w:rPr>
          <w:rFonts w:ascii="Times New Roman" w:eastAsia="Times New Roman" w:hAnsi="Times New Roman" w:cs="Times New Roman"/>
          <w:color w:val="000000"/>
          <w:sz w:val="28"/>
          <w:szCs w:val="28"/>
          <w:lang w:val="ru-RU" w:eastAsia="ru-RU"/>
        </w:rPr>
      </w:pPr>
      <w:r w:rsidRPr="00AE1B12">
        <w:rPr>
          <w:rFonts w:ascii="Times New Roman" w:eastAsia="Times New Roman" w:hAnsi="Times New Roman" w:cs="Times New Roman"/>
          <w:color w:val="000000"/>
          <w:sz w:val="28"/>
          <w:szCs w:val="28"/>
          <w:lang w:val="ru-RU" w:eastAsia="ru-RU"/>
        </w:rPr>
        <w:t>Обязательными объектами исключительных прав в договоре франчайзинга являются фирменное наименование и охраняемая коммерческая информация. Невключение в договор этих элементов не позволяет считать подписанное соглашение договором франчайзинга, даже несмотря на его название. Не является договором франчайзинга также договор, хотя и включающий условие о передаче в пользование фирменного наименования и охраняемой коммерческой информации, но не названный сторонами договором франчайзинга. Поэтому в отношении договоров, не имеющих своим объектом фирменное наименование или охраняемую коммерческую информацию, или хотя и включающих упомянутые объекты, но не названных франчайзингом, действуют правила, предусмотренные сторонами в договоре, и общие нормы ГК РК.</w:t>
      </w:r>
    </w:p>
    <w:p w14:paraId="4D5D8A4E" w14:textId="77777777" w:rsidR="00AE1B12" w:rsidRPr="00AE1B12" w:rsidRDefault="00AE1B12" w:rsidP="00AE1B12">
      <w:pPr>
        <w:spacing w:after="0" w:line="240" w:lineRule="auto"/>
        <w:ind w:firstLine="709"/>
        <w:jc w:val="both"/>
        <w:rPr>
          <w:rFonts w:ascii="Times New Roman" w:eastAsia="Times New Roman" w:hAnsi="Times New Roman" w:cs="Times New Roman"/>
          <w:color w:val="000000"/>
          <w:sz w:val="28"/>
          <w:szCs w:val="28"/>
          <w:lang w:val="ru-RU" w:eastAsia="ru-RU"/>
        </w:rPr>
      </w:pPr>
      <w:r w:rsidRPr="00AE1B12">
        <w:rPr>
          <w:rFonts w:ascii="Times New Roman" w:eastAsia="Times New Roman" w:hAnsi="Times New Roman" w:cs="Times New Roman"/>
          <w:color w:val="000000"/>
          <w:sz w:val="28"/>
          <w:szCs w:val="28"/>
          <w:lang w:val="ru-RU" w:eastAsia="ru-RU"/>
        </w:rPr>
        <w:t> Национальными и международными правовыми актами по вопросам франчайзинга чаще всего в понятие франчайзинга включается и третий обязательный элемент - постоянное консультационное содействие в организации бизнеса. В казахстанском законодательстве оно заменено обязанностью лицензиара провести консультирование лицензиата по вопросам, связанным с осуществлением пользования переданных ему исключительных прав. Такое консультирование может иметь не длящийся в течение действия всего договора, а, допустим, единовременный характер.</w:t>
      </w:r>
    </w:p>
    <w:p w14:paraId="188FAF40" w14:textId="77777777" w:rsidR="00AE1B12" w:rsidRPr="00AE1B12" w:rsidRDefault="00AE1B12" w:rsidP="00AE1B12">
      <w:pPr>
        <w:spacing w:after="0" w:line="240" w:lineRule="auto"/>
        <w:ind w:firstLine="709"/>
        <w:jc w:val="both"/>
        <w:rPr>
          <w:rFonts w:ascii="Times New Roman" w:eastAsia="Times New Roman" w:hAnsi="Times New Roman" w:cs="Times New Roman"/>
          <w:color w:val="000000"/>
          <w:sz w:val="28"/>
          <w:szCs w:val="28"/>
          <w:lang w:val="ru-RU" w:eastAsia="ru-RU"/>
        </w:rPr>
      </w:pPr>
      <w:r w:rsidRPr="00AE1B12">
        <w:rPr>
          <w:rFonts w:ascii="Times New Roman" w:eastAsia="Times New Roman" w:hAnsi="Times New Roman" w:cs="Times New Roman"/>
          <w:color w:val="000000"/>
          <w:sz w:val="28"/>
          <w:szCs w:val="28"/>
          <w:lang w:val="ru-RU" w:eastAsia="ru-RU"/>
        </w:rPr>
        <w:lastRenderedPageBreak/>
        <w:t>Понятие «охраняемая коммерческая информация» является производным от понятия «информация, составляющая служебную или коммерческую тайну».</w:t>
      </w:r>
    </w:p>
    <w:p w14:paraId="5B42E6B7" w14:textId="77777777" w:rsidR="00AE1B12" w:rsidRPr="00AE1B12" w:rsidRDefault="00AE1B12" w:rsidP="00AE1B12">
      <w:pPr>
        <w:spacing w:after="0" w:line="240" w:lineRule="auto"/>
        <w:ind w:firstLine="709"/>
        <w:jc w:val="both"/>
        <w:rPr>
          <w:rFonts w:ascii="Times New Roman" w:eastAsia="Times New Roman" w:hAnsi="Times New Roman" w:cs="Times New Roman"/>
          <w:color w:val="000000"/>
          <w:sz w:val="28"/>
          <w:szCs w:val="28"/>
          <w:lang w:val="ru-RU" w:eastAsia="ru-RU"/>
        </w:rPr>
      </w:pPr>
      <w:r w:rsidRPr="00AE1B12">
        <w:rPr>
          <w:rFonts w:ascii="Times New Roman" w:eastAsia="Times New Roman" w:hAnsi="Times New Roman" w:cs="Times New Roman"/>
          <w:color w:val="000000"/>
          <w:sz w:val="28"/>
          <w:szCs w:val="28"/>
          <w:lang w:val="ru-RU" w:eastAsia="ru-RU"/>
        </w:rPr>
        <w:t>Понятие «охраняемая коммерческая информация» подпадает также под действие Главы 55 ГК РК «Право на защиту нераскрытой информации от незаконного использования». Лицо, правомерно обладающее технической, организационной или коммерческой информацией, в том числе секретами производства (ноу-хау), неизвестной третьим лицам (нераскрытая информация), имеет право на защиту этой информации от незаконного использования. Право на защиту нераскрытой информации от незаконного использования возникает независимо от выполнения в отношении этой информации каких-либо формальностей (ее регистрации, получения свидетельств и т.п.). Правила о защите нераскрытой информации не применяются в отношении сведений, которые в соответствии с законодательными актами не могут составлять служебную или коммерческую тайну (сведения о юридических лицах, правах на имущество и сделках с ним; сведения, подлежащие представлению в качестве государственной статистической отчетности и др.).</w:t>
      </w:r>
    </w:p>
    <w:p w14:paraId="3099EAB9" w14:textId="77777777" w:rsidR="00AE1B12" w:rsidRPr="00AE1B12" w:rsidRDefault="00AE1B12" w:rsidP="00AE1B12">
      <w:pPr>
        <w:spacing w:after="0" w:line="240" w:lineRule="auto"/>
        <w:ind w:firstLine="709"/>
        <w:jc w:val="both"/>
        <w:rPr>
          <w:rFonts w:ascii="Times New Roman" w:eastAsia="Times New Roman" w:hAnsi="Times New Roman" w:cs="Times New Roman"/>
          <w:color w:val="000000"/>
          <w:sz w:val="28"/>
          <w:szCs w:val="28"/>
          <w:lang w:val="ru-RU" w:eastAsia="ru-RU"/>
        </w:rPr>
      </w:pPr>
      <w:r w:rsidRPr="00AE1B12">
        <w:rPr>
          <w:rFonts w:ascii="Times New Roman" w:eastAsia="Times New Roman" w:hAnsi="Times New Roman" w:cs="Times New Roman"/>
          <w:color w:val="000000"/>
          <w:sz w:val="28"/>
          <w:szCs w:val="28"/>
          <w:lang w:val="ru-RU" w:eastAsia="ru-RU"/>
        </w:rPr>
        <w:t>Помимо обязательных, наиболее распространенными объектами исключительных прав в договоре франчайзинга являются товарные знаки (знаки обслуживания), изобретения, полезные модели, промышленные образцы, наименование мест происхождения (указания происхождения) товаров, нераскрытая информация, в том числе секреты производства (ноу-хау). Однако, это могут быть и другие результаты интеллектуальной деятельности и средства индивидуализации участников гражданского оборота, товаров, работ или услуг. Будучи объектом договора, весь передаваемый комплекс исключительных прав образует понятие «лицензионный комплекс».</w:t>
      </w:r>
    </w:p>
    <w:p w14:paraId="1BCE98CC" w14:textId="77777777" w:rsidR="00AE1B12" w:rsidRPr="00AE1B12" w:rsidRDefault="00AE1B12" w:rsidP="00AE1B12">
      <w:pPr>
        <w:spacing w:after="0" w:line="240" w:lineRule="auto"/>
        <w:ind w:firstLine="709"/>
        <w:jc w:val="both"/>
        <w:rPr>
          <w:rFonts w:ascii="Times New Roman" w:eastAsia="Times New Roman" w:hAnsi="Times New Roman" w:cs="Times New Roman"/>
          <w:color w:val="000000"/>
          <w:sz w:val="28"/>
          <w:szCs w:val="28"/>
          <w:lang w:val="ru-RU" w:eastAsia="ru-RU"/>
        </w:rPr>
      </w:pPr>
      <w:r w:rsidRPr="00AE1B12">
        <w:rPr>
          <w:rFonts w:ascii="Times New Roman" w:eastAsia="Times New Roman" w:hAnsi="Times New Roman" w:cs="Times New Roman"/>
          <w:color w:val="000000"/>
          <w:sz w:val="28"/>
          <w:szCs w:val="28"/>
          <w:lang w:val="ru-RU" w:eastAsia="ru-RU"/>
        </w:rPr>
        <w:t>Обязательными сопутствующими лицензионному комплексу (имущественным исключительным правам) в договоре франчайзинга являются неимущественные права - деловая репутация и коммерческий опыт.</w:t>
      </w:r>
    </w:p>
    <w:p w14:paraId="5FC87890" w14:textId="77777777" w:rsidR="00AE1B12" w:rsidRPr="00AE1B12" w:rsidRDefault="00AE1B12" w:rsidP="00AE1B12">
      <w:pPr>
        <w:spacing w:after="0" w:line="240" w:lineRule="auto"/>
        <w:ind w:firstLine="709"/>
        <w:jc w:val="both"/>
        <w:rPr>
          <w:rFonts w:ascii="Times New Roman" w:eastAsia="Times New Roman" w:hAnsi="Times New Roman" w:cs="Times New Roman"/>
          <w:color w:val="000000"/>
          <w:sz w:val="28"/>
          <w:szCs w:val="28"/>
          <w:lang w:val="ru-RU" w:eastAsia="ru-RU"/>
        </w:rPr>
      </w:pPr>
      <w:r w:rsidRPr="00AE1B12">
        <w:rPr>
          <w:rFonts w:ascii="Times New Roman" w:eastAsia="Times New Roman" w:hAnsi="Times New Roman" w:cs="Times New Roman"/>
          <w:color w:val="000000"/>
          <w:sz w:val="28"/>
          <w:szCs w:val="28"/>
          <w:lang w:val="ru-RU" w:eastAsia="ru-RU"/>
        </w:rPr>
        <w:t>Законодательство не содержит определения деловой репутации. В обычном понимании репутация представляет собой сложившееся о лице мнение, основанное на оценке его общественно значимых качеств. Соответственно деловая репутация - это оценка профессиональных качеств для физического лица и степень доверия и заинтересованности в деловых контактах - для юридического лица. Деловая репутация коммерческого юридического лица в промышленно развитых странах называется «гудвилл» или «доброе имя». Обычно стоимостная оценка неимущественного права не предполагается. Однако, деловая репутация может явиться исключением из этого правила. На практике определить стоимость деловой репутации юридического лица не сложно. Разница между продажной ценой предприятия при продаже его вместе с фирменным наименованием и себестоимостью совокупности объектов, составляющих имущество предприятия, составляет цену деловой репутации.</w:t>
      </w:r>
    </w:p>
    <w:p w14:paraId="2173E359" w14:textId="77777777" w:rsidR="00D904FD" w:rsidRPr="00D904FD" w:rsidRDefault="00D904FD" w:rsidP="00D904FD">
      <w:pPr>
        <w:keepNext/>
        <w:spacing w:after="0" w:line="240" w:lineRule="auto"/>
        <w:jc w:val="center"/>
        <w:outlineLvl w:val="0"/>
        <w:rPr>
          <w:rFonts w:ascii="Times New Roman" w:eastAsia="Times New Roman" w:hAnsi="Times New Roman" w:cs="Times New Roman"/>
          <w:sz w:val="28"/>
          <w:szCs w:val="28"/>
          <w:lang w:val="kk-KZ" w:eastAsia="ru-RU"/>
        </w:rPr>
      </w:pPr>
      <w:r w:rsidRPr="00D904FD">
        <w:rPr>
          <w:rFonts w:ascii="Times New Roman" w:eastAsia="Times New Roman" w:hAnsi="Times New Roman" w:cs="Times New Roman"/>
          <w:sz w:val="28"/>
          <w:szCs w:val="28"/>
          <w:lang w:val="kk-KZ" w:eastAsia="ru-RU"/>
        </w:rPr>
        <w:lastRenderedPageBreak/>
        <w:t>ВСЕМИРНАЯ ОРГАНИЗАЦИЯ ИНТЕЛЛЕКТУАЛЬНОЙ СОБСТВЕННОСТИ (ВОИС)</w:t>
      </w:r>
    </w:p>
    <w:p w14:paraId="75E59C4E" w14:textId="77777777" w:rsidR="00D904FD" w:rsidRPr="00D904FD" w:rsidRDefault="00D904FD" w:rsidP="00D904FD">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p>
    <w:p w14:paraId="04AA476A" w14:textId="79A49DC4" w:rsidR="00D904FD" w:rsidRPr="00D904FD" w:rsidRDefault="00D904FD" w:rsidP="00D904FD">
      <w:pPr>
        <w:keepNext/>
        <w:spacing w:after="0" w:line="240" w:lineRule="auto"/>
        <w:ind w:firstLine="872"/>
        <w:jc w:val="center"/>
        <w:outlineLvl w:val="1"/>
        <w:rPr>
          <w:rFonts w:ascii="Times New Roman" w:eastAsia="Times New Roman" w:hAnsi="Times New Roman" w:cs="Times New Roman"/>
          <w:b/>
          <w:sz w:val="28"/>
          <w:szCs w:val="28"/>
          <w:lang w:val="ru-RU" w:eastAsia="ru-RU"/>
        </w:rPr>
      </w:pPr>
      <w:bookmarkStart w:id="7" w:name="_Toc276932504"/>
      <w:bookmarkStart w:id="8" w:name="_Hlk62500554"/>
      <w:r w:rsidRPr="00D904FD">
        <w:rPr>
          <w:rFonts w:ascii="Times New Roman" w:eastAsia="Times New Roman" w:hAnsi="Times New Roman" w:cs="Times New Roman"/>
          <w:b/>
          <w:sz w:val="28"/>
          <w:szCs w:val="28"/>
          <w:lang w:val="ru-RU" w:eastAsia="ru-RU"/>
        </w:rPr>
        <w:t>Основные концепции ВОИС</w:t>
      </w:r>
      <w:bookmarkEnd w:id="7"/>
    </w:p>
    <w:bookmarkEnd w:id="8"/>
    <w:p w14:paraId="1382505A" w14:textId="77777777" w:rsidR="00D904FD" w:rsidRPr="00D904FD" w:rsidRDefault="00D904FD" w:rsidP="00D904FD">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p>
    <w:p w14:paraId="095151EF" w14:textId="77777777" w:rsidR="00D904FD" w:rsidRPr="00D904FD" w:rsidRDefault="00D904FD" w:rsidP="00D904FD">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D904FD">
        <w:rPr>
          <w:rFonts w:ascii="Times New Roman" w:eastAsia="Times New Roman" w:hAnsi="Times New Roman" w:cs="Times New Roman"/>
          <w:color w:val="000000"/>
          <w:sz w:val="28"/>
          <w:szCs w:val="28"/>
          <w:lang w:val="ru-RU" w:eastAsia="ru-RU"/>
        </w:rPr>
        <w:t>Всемирная организация интеллектуальной собственности, в сокращенной форме «ВОИС» - на русском языке, «</w:t>
      </w:r>
      <w:r w:rsidRPr="00D904FD">
        <w:rPr>
          <w:rFonts w:ascii="Times New Roman" w:eastAsia="Times New Roman" w:hAnsi="Times New Roman" w:cs="Times New Roman"/>
          <w:color w:val="000000"/>
          <w:sz w:val="28"/>
          <w:szCs w:val="28"/>
          <w:lang w:val="en-US" w:eastAsia="ru-RU"/>
        </w:rPr>
        <w:t>WIPO</w:t>
      </w:r>
      <w:r w:rsidRPr="00D904FD">
        <w:rPr>
          <w:rFonts w:ascii="Times New Roman" w:eastAsia="Times New Roman" w:hAnsi="Times New Roman" w:cs="Times New Roman"/>
          <w:color w:val="000000"/>
          <w:sz w:val="28"/>
          <w:szCs w:val="28"/>
          <w:lang w:val="ru-RU" w:eastAsia="ru-RU"/>
        </w:rPr>
        <w:t>» (</w:t>
      </w:r>
      <w:r w:rsidRPr="00D904FD">
        <w:rPr>
          <w:rFonts w:ascii="Times New Roman" w:eastAsia="Times New Roman" w:hAnsi="Times New Roman" w:cs="Times New Roman"/>
          <w:color w:val="000000"/>
          <w:sz w:val="28"/>
          <w:szCs w:val="28"/>
          <w:lang w:val="en-US" w:eastAsia="ru-RU"/>
        </w:rPr>
        <w:t>W</w:t>
      </w:r>
      <w:r w:rsidRPr="00D904FD">
        <w:rPr>
          <w:rFonts w:ascii="Times New Roman" w:eastAsia="Times New Roman" w:hAnsi="Times New Roman" w:cs="Times New Roman"/>
          <w:color w:val="000000"/>
          <w:sz w:val="28"/>
          <w:szCs w:val="28"/>
          <w:lang w:val="ru-RU" w:eastAsia="ru-RU"/>
        </w:rPr>
        <w:t>о</w:t>
      </w:r>
      <w:r w:rsidRPr="00D904FD">
        <w:rPr>
          <w:rFonts w:ascii="Times New Roman" w:eastAsia="Times New Roman" w:hAnsi="Times New Roman" w:cs="Times New Roman"/>
          <w:color w:val="000000"/>
          <w:sz w:val="28"/>
          <w:szCs w:val="28"/>
          <w:lang w:val="en-US" w:eastAsia="ru-RU"/>
        </w:rPr>
        <w:t>rld</w:t>
      </w:r>
      <w:r w:rsidRPr="00D904FD">
        <w:rPr>
          <w:rFonts w:ascii="Times New Roman" w:eastAsia="Times New Roman" w:hAnsi="Times New Roman" w:cs="Times New Roman"/>
          <w:color w:val="000000"/>
          <w:sz w:val="28"/>
          <w:szCs w:val="28"/>
          <w:lang w:val="ru-RU" w:eastAsia="ru-RU"/>
        </w:rPr>
        <w:t xml:space="preserve"> </w:t>
      </w:r>
      <w:r w:rsidRPr="00D904FD">
        <w:rPr>
          <w:rFonts w:ascii="Times New Roman" w:eastAsia="Times New Roman" w:hAnsi="Times New Roman" w:cs="Times New Roman"/>
          <w:color w:val="000000"/>
          <w:sz w:val="28"/>
          <w:szCs w:val="28"/>
          <w:lang w:val="en-US" w:eastAsia="ru-RU"/>
        </w:rPr>
        <w:t>Organization</w:t>
      </w:r>
      <w:r w:rsidRPr="00D904FD">
        <w:rPr>
          <w:rFonts w:ascii="Times New Roman" w:eastAsia="Times New Roman" w:hAnsi="Times New Roman" w:cs="Times New Roman"/>
          <w:color w:val="000000"/>
          <w:sz w:val="28"/>
          <w:szCs w:val="28"/>
          <w:lang w:val="ru-RU" w:eastAsia="ru-RU"/>
        </w:rPr>
        <w:t xml:space="preserve"> </w:t>
      </w:r>
      <w:r w:rsidRPr="00D904FD">
        <w:rPr>
          <w:rFonts w:ascii="Times New Roman" w:eastAsia="Times New Roman" w:hAnsi="Times New Roman" w:cs="Times New Roman"/>
          <w:color w:val="000000"/>
          <w:sz w:val="28"/>
          <w:szCs w:val="28"/>
          <w:lang w:val="en-US" w:eastAsia="ru-RU"/>
        </w:rPr>
        <w:t>Intellect</w:t>
      </w:r>
      <w:r w:rsidRPr="00D904FD">
        <w:rPr>
          <w:rFonts w:ascii="Times New Roman" w:eastAsia="Times New Roman" w:hAnsi="Times New Roman" w:cs="Times New Roman"/>
          <w:color w:val="000000"/>
          <w:sz w:val="28"/>
          <w:szCs w:val="28"/>
          <w:lang w:val="ru-RU" w:eastAsia="ru-RU"/>
        </w:rPr>
        <w:t xml:space="preserve"> </w:t>
      </w:r>
      <w:r w:rsidRPr="00D904FD">
        <w:rPr>
          <w:rFonts w:ascii="Times New Roman" w:eastAsia="Times New Roman" w:hAnsi="Times New Roman" w:cs="Times New Roman"/>
          <w:color w:val="000000"/>
          <w:sz w:val="28"/>
          <w:szCs w:val="28"/>
          <w:lang w:val="en-US" w:eastAsia="ru-RU"/>
        </w:rPr>
        <w:t>Property</w:t>
      </w:r>
      <w:r w:rsidRPr="00D904FD">
        <w:rPr>
          <w:rFonts w:ascii="Times New Roman" w:eastAsia="Times New Roman" w:hAnsi="Times New Roman" w:cs="Times New Roman"/>
          <w:color w:val="000000"/>
          <w:sz w:val="28"/>
          <w:szCs w:val="28"/>
          <w:lang w:val="ru-RU" w:eastAsia="ru-RU"/>
        </w:rPr>
        <w:t>) - на английском языке, «</w:t>
      </w:r>
      <w:r w:rsidRPr="00D904FD">
        <w:rPr>
          <w:rFonts w:ascii="Times New Roman" w:eastAsia="Times New Roman" w:hAnsi="Times New Roman" w:cs="Times New Roman"/>
          <w:color w:val="000000"/>
          <w:sz w:val="28"/>
          <w:szCs w:val="28"/>
          <w:lang w:val="en-US" w:eastAsia="ru-RU"/>
        </w:rPr>
        <w:t>UI</w:t>
      </w:r>
      <w:r w:rsidRPr="00D904FD">
        <w:rPr>
          <w:rFonts w:ascii="Times New Roman" w:eastAsia="Times New Roman" w:hAnsi="Times New Roman" w:cs="Times New Roman"/>
          <w:color w:val="000000"/>
          <w:sz w:val="28"/>
          <w:szCs w:val="28"/>
          <w:lang w:val="ru-RU" w:eastAsia="ru-RU"/>
        </w:rPr>
        <w:t>РО» (</w:t>
      </w:r>
      <w:r w:rsidRPr="00D904FD">
        <w:rPr>
          <w:rFonts w:ascii="Times New Roman" w:eastAsia="Times New Roman" w:hAnsi="Times New Roman" w:cs="Times New Roman"/>
          <w:color w:val="000000"/>
          <w:sz w:val="28"/>
          <w:szCs w:val="28"/>
          <w:lang w:val="en-US" w:eastAsia="ru-RU"/>
        </w:rPr>
        <w:t>Universal</w:t>
      </w:r>
      <w:r w:rsidRPr="00D904FD">
        <w:rPr>
          <w:rFonts w:ascii="Times New Roman" w:eastAsia="Times New Roman" w:hAnsi="Times New Roman" w:cs="Times New Roman"/>
          <w:color w:val="000000"/>
          <w:sz w:val="28"/>
          <w:szCs w:val="28"/>
          <w:lang w:val="ru-RU" w:eastAsia="ru-RU"/>
        </w:rPr>
        <w:t xml:space="preserve"> </w:t>
      </w:r>
      <w:r w:rsidRPr="00D904FD">
        <w:rPr>
          <w:rFonts w:ascii="Times New Roman" w:eastAsia="Times New Roman" w:hAnsi="Times New Roman" w:cs="Times New Roman"/>
          <w:color w:val="000000"/>
          <w:sz w:val="28"/>
          <w:szCs w:val="28"/>
          <w:lang w:val="en-US" w:eastAsia="ru-RU"/>
        </w:rPr>
        <w:t>Organization</w:t>
      </w:r>
      <w:r w:rsidRPr="00D904FD">
        <w:rPr>
          <w:rFonts w:ascii="Times New Roman" w:eastAsia="Times New Roman" w:hAnsi="Times New Roman" w:cs="Times New Roman"/>
          <w:color w:val="000000"/>
          <w:sz w:val="28"/>
          <w:szCs w:val="28"/>
          <w:lang w:val="ru-RU" w:eastAsia="ru-RU"/>
        </w:rPr>
        <w:t xml:space="preserve"> </w:t>
      </w:r>
      <w:r w:rsidRPr="00D904FD">
        <w:rPr>
          <w:rFonts w:ascii="Times New Roman" w:eastAsia="Times New Roman" w:hAnsi="Times New Roman" w:cs="Times New Roman"/>
          <w:color w:val="000000"/>
          <w:sz w:val="28"/>
          <w:szCs w:val="28"/>
          <w:lang w:val="en-US" w:eastAsia="ru-RU"/>
        </w:rPr>
        <w:t>Intellect</w:t>
      </w:r>
      <w:r w:rsidRPr="00D904FD">
        <w:rPr>
          <w:rFonts w:ascii="Times New Roman" w:eastAsia="Times New Roman" w:hAnsi="Times New Roman" w:cs="Times New Roman"/>
          <w:color w:val="000000"/>
          <w:sz w:val="28"/>
          <w:szCs w:val="28"/>
          <w:lang w:val="ru-RU" w:eastAsia="ru-RU"/>
        </w:rPr>
        <w:t xml:space="preserve"> </w:t>
      </w:r>
      <w:r w:rsidRPr="00D904FD">
        <w:rPr>
          <w:rFonts w:ascii="Times New Roman" w:eastAsia="Times New Roman" w:hAnsi="Times New Roman" w:cs="Times New Roman"/>
          <w:color w:val="000000"/>
          <w:sz w:val="28"/>
          <w:szCs w:val="28"/>
          <w:lang w:val="en-US" w:eastAsia="ru-RU"/>
        </w:rPr>
        <w:t>Proprieties</w:t>
      </w:r>
      <w:r w:rsidRPr="00D904FD">
        <w:rPr>
          <w:rFonts w:ascii="Times New Roman" w:eastAsia="Times New Roman" w:hAnsi="Times New Roman" w:cs="Times New Roman"/>
          <w:color w:val="000000"/>
          <w:sz w:val="28"/>
          <w:szCs w:val="28"/>
          <w:lang w:val="ru-RU" w:eastAsia="ru-RU"/>
        </w:rPr>
        <w:t xml:space="preserve">) - на французском и испанском языках, была учреждена конвенцией, подписанной в Стокгольме 14 июля </w:t>
      </w:r>
      <w:smartTag w:uri="urn:schemas-microsoft-com:office:smarttags" w:element="metricconverter">
        <w:smartTagPr>
          <w:attr w:name="ProductID" w:val="1967 г"/>
        </w:smartTagPr>
        <w:r w:rsidRPr="00D904FD">
          <w:rPr>
            <w:rFonts w:ascii="Times New Roman" w:eastAsia="Times New Roman" w:hAnsi="Times New Roman" w:cs="Times New Roman"/>
            <w:color w:val="000000"/>
            <w:sz w:val="28"/>
            <w:szCs w:val="28"/>
            <w:lang w:val="ru-RU" w:eastAsia="ru-RU"/>
          </w:rPr>
          <w:t>1967 г</w:t>
        </w:r>
      </w:smartTag>
      <w:r w:rsidRPr="00D904FD">
        <w:rPr>
          <w:rFonts w:ascii="Times New Roman" w:eastAsia="Times New Roman" w:hAnsi="Times New Roman" w:cs="Times New Roman"/>
          <w:color w:val="000000"/>
          <w:sz w:val="28"/>
          <w:szCs w:val="28"/>
          <w:lang w:val="ru-RU" w:eastAsia="ru-RU"/>
        </w:rPr>
        <w:t>. и вступила в силу в 1970 году. В настоящее время членами Организации являются более 100 государств, в том числе и Россия.</w:t>
      </w:r>
    </w:p>
    <w:p w14:paraId="0FC0EB02" w14:textId="77777777" w:rsidR="00D904FD" w:rsidRPr="00D904FD" w:rsidRDefault="00D904FD" w:rsidP="00D904FD">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D904FD">
        <w:rPr>
          <w:rFonts w:ascii="Times New Roman" w:eastAsia="Times New Roman" w:hAnsi="Times New Roman" w:cs="Times New Roman"/>
          <w:color w:val="000000"/>
          <w:sz w:val="28"/>
          <w:szCs w:val="28"/>
          <w:lang w:val="ru-RU" w:eastAsia="ru-RU"/>
        </w:rPr>
        <w:t>ВОИС преследует следующие цели: содействовать охране интеллектуальной собственности во всем мире путем развития сотрудничества государств и обеспечивать административное сотрудничество союзов по охране интеллектуальной собственности.</w:t>
      </w:r>
    </w:p>
    <w:p w14:paraId="77047381" w14:textId="77777777" w:rsidR="00D904FD" w:rsidRPr="00D904FD" w:rsidRDefault="00D904FD" w:rsidP="00D904FD">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D904FD">
        <w:rPr>
          <w:rFonts w:ascii="Times New Roman" w:eastAsia="Times New Roman" w:hAnsi="Times New Roman" w:cs="Times New Roman"/>
          <w:color w:val="000000"/>
          <w:sz w:val="28"/>
          <w:szCs w:val="28"/>
          <w:lang w:val="ru-RU" w:eastAsia="ru-RU"/>
        </w:rPr>
        <w:t>Деятельность ВОИС многогранна. Она занимается разработкой новых международных соглашений и проектов по гармонизации национальных законодательств, обеспечением международной регистрации ряда объектов интеллектуальной собственности, сбором и распространением технической, научной и другой информации. ВОИС предусматривает также оказание помощи развивающимся странам в области охраны интеллектуальной собственности путем подготовки кадров для этих стран, создания типовых законов по объектам интеллектуальной промышленной собственности, создания и совершенствования деятельности компетентных учреждений в этой области и по ряду других вопросов.</w:t>
      </w:r>
    </w:p>
    <w:p w14:paraId="00D01C85" w14:textId="77777777" w:rsidR="00D904FD" w:rsidRPr="00D904FD" w:rsidRDefault="00D904FD" w:rsidP="00D904FD">
      <w:pPr>
        <w:shd w:val="clear" w:color="auto" w:fill="FFFFFF"/>
        <w:spacing w:after="0" w:line="240" w:lineRule="auto"/>
        <w:ind w:firstLine="709"/>
        <w:jc w:val="both"/>
        <w:rPr>
          <w:rFonts w:ascii="Times New Roman" w:eastAsia="Times New Roman" w:hAnsi="Times New Roman" w:cs="Times New Roman"/>
          <w:sz w:val="28"/>
          <w:szCs w:val="28"/>
          <w:lang w:val="ru-RU" w:eastAsia="ru-RU"/>
        </w:rPr>
      </w:pPr>
      <w:r w:rsidRPr="00D904FD">
        <w:rPr>
          <w:rFonts w:ascii="Times New Roman" w:eastAsia="Times New Roman" w:hAnsi="Times New Roman" w:cs="Times New Roman"/>
          <w:color w:val="000000"/>
          <w:sz w:val="28"/>
          <w:szCs w:val="28"/>
          <w:lang w:val="ru-RU" w:eastAsia="ru-RU"/>
        </w:rPr>
        <w:t>Общая тенденция активизации информационной деятельности затронула и сферу патентной информации, обладающей определенными особенностями, которые вызваны специфическими потребностями изобретательских общественных отношений, а также двойственной технико-правовой природой патентной информации.</w:t>
      </w:r>
    </w:p>
    <w:p w14:paraId="4AE2C925" w14:textId="77777777" w:rsidR="00D904FD" w:rsidRPr="00D904FD" w:rsidRDefault="00D904FD" w:rsidP="00D904FD">
      <w:pPr>
        <w:shd w:val="clear" w:color="auto" w:fill="FFFFFF"/>
        <w:spacing w:after="0" w:line="240" w:lineRule="auto"/>
        <w:ind w:firstLine="709"/>
        <w:jc w:val="both"/>
        <w:rPr>
          <w:rFonts w:ascii="Times New Roman" w:eastAsia="Times New Roman" w:hAnsi="Times New Roman" w:cs="Times New Roman"/>
          <w:color w:val="000000"/>
          <w:sz w:val="28"/>
          <w:szCs w:val="28"/>
          <w:lang w:val="ru-RU" w:eastAsia="ru-RU"/>
        </w:rPr>
      </w:pPr>
      <w:r w:rsidRPr="00D904FD">
        <w:rPr>
          <w:rFonts w:ascii="Times New Roman" w:eastAsia="Times New Roman" w:hAnsi="Times New Roman" w:cs="Times New Roman"/>
          <w:color w:val="000000"/>
          <w:sz w:val="28"/>
          <w:szCs w:val="28"/>
          <w:lang w:val="ru-RU" w:eastAsia="ru-RU"/>
        </w:rPr>
        <w:t>В настоящее время все более широкий круг стран рассматривает патентно-информационное обеспечение актуальным не только для экспертов, работающих с заявками на предполагаемые изобретения, но и для специалистов, занимающихся научно-исследовательской и опытно-конструкторской деятельностью. В основе этого лежит тот факт, что примерно из 0,5 млн. патентных документов по новым технологиям, появляющимся ежегодно в мире, лишь 10-15% находят отражение в периодических изданиях и специальной технической литературе. Такое положение заставляет уделять большое внимание вопросам облегчения для пользователей доступа к технической информации, содержащейся в патентной документации, а следовательно, выдвижению на первый план работ по стандартизации в области патентной информа</w:t>
      </w:r>
      <w:r w:rsidRPr="00D904FD">
        <w:rPr>
          <w:rFonts w:ascii="Times New Roman" w:eastAsia="Times New Roman" w:hAnsi="Times New Roman" w:cs="Times New Roman"/>
          <w:color w:val="000000"/>
          <w:sz w:val="28"/>
          <w:szCs w:val="28"/>
          <w:lang w:val="ru-RU" w:eastAsia="ru-RU"/>
        </w:rPr>
        <w:softHyphen/>
        <w:t>ции на международном уровне.</w:t>
      </w:r>
    </w:p>
    <w:p w14:paraId="03A286CE" w14:textId="77777777" w:rsidR="00D904FD" w:rsidRPr="00AE1B12" w:rsidRDefault="00D904FD" w:rsidP="00D904FD">
      <w:pPr>
        <w:tabs>
          <w:tab w:val="left" w:pos="1134"/>
        </w:tabs>
        <w:spacing w:after="0" w:line="240" w:lineRule="auto"/>
        <w:ind w:left="1429"/>
        <w:jc w:val="both"/>
        <w:rPr>
          <w:rFonts w:ascii="Times New Roman" w:eastAsia="Times New Roman" w:hAnsi="Times New Roman" w:cs="Times New Roman"/>
          <w:color w:val="000000"/>
          <w:sz w:val="28"/>
          <w:szCs w:val="28"/>
          <w:lang w:val="ru-RU" w:eastAsia="ru-RU"/>
        </w:rPr>
      </w:pPr>
    </w:p>
    <w:p w14:paraId="20268C44" w14:textId="77777777" w:rsidR="00AE1B12" w:rsidRPr="00AE1B12" w:rsidRDefault="00AE1B12" w:rsidP="00AE1B12">
      <w:pPr>
        <w:spacing w:after="0" w:line="240" w:lineRule="auto"/>
        <w:ind w:firstLine="709"/>
        <w:jc w:val="both"/>
        <w:rPr>
          <w:rFonts w:ascii="Times New Roman" w:eastAsia="Times New Roman" w:hAnsi="Times New Roman" w:cs="Times New Roman"/>
          <w:sz w:val="28"/>
          <w:szCs w:val="28"/>
          <w:lang w:val="ru-RU" w:eastAsia="ru-RU"/>
        </w:rPr>
      </w:pPr>
    </w:p>
    <w:p w14:paraId="4D64C0EE" w14:textId="7CC6FE16" w:rsidR="00AE1B12" w:rsidRDefault="00233A7F">
      <w:pPr>
        <w:rPr>
          <w:rFonts w:ascii="Times New Roman" w:hAnsi="Times New Roman" w:cs="Times New Roman"/>
          <w:b/>
          <w:bCs/>
          <w:sz w:val="28"/>
          <w:szCs w:val="28"/>
          <w:lang w:val="ru-RU"/>
        </w:rPr>
      </w:pPr>
      <w:r>
        <w:rPr>
          <w:rFonts w:ascii="Times New Roman" w:hAnsi="Times New Roman" w:cs="Times New Roman"/>
          <w:b/>
          <w:bCs/>
          <w:sz w:val="28"/>
          <w:szCs w:val="28"/>
          <w:lang w:val="ru-RU"/>
        </w:rPr>
        <w:lastRenderedPageBreak/>
        <w:t>Контрольные вопросы:</w:t>
      </w:r>
    </w:p>
    <w:p w14:paraId="790E85C1" w14:textId="4F5A4316" w:rsidR="00233A7F" w:rsidRDefault="00233A7F" w:rsidP="00233A7F">
      <w:pPr>
        <w:pStyle w:val="a3"/>
        <w:numPr>
          <w:ilvl w:val="0"/>
          <w:numId w:val="3"/>
        </w:numPr>
        <w:rPr>
          <w:rFonts w:ascii="Times New Roman" w:hAnsi="Times New Roman" w:cs="Times New Roman"/>
          <w:b/>
          <w:bCs/>
          <w:sz w:val="28"/>
          <w:szCs w:val="28"/>
          <w:lang w:val="ru-RU"/>
        </w:rPr>
      </w:pPr>
      <w:r w:rsidRPr="00233A7F">
        <w:rPr>
          <w:rFonts w:ascii="Times New Roman" w:hAnsi="Times New Roman" w:cs="Times New Roman"/>
          <w:b/>
          <w:bCs/>
          <w:sz w:val="28"/>
          <w:szCs w:val="28"/>
          <w:lang w:val="ru-RU"/>
        </w:rPr>
        <w:t>Комплексная предпринимательская лицензия (франчайзинг)</w:t>
      </w:r>
      <w:r>
        <w:rPr>
          <w:rFonts w:ascii="Times New Roman" w:hAnsi="Times New Roman" w:cs="Times New Roman"/>
          <w:b/>
          <w:bCs/>
          <w:sz w:val="28"/>
          <w:szCs w:val="28"/>
          <w:lang w:val="ru-RU"/>
        </w:rPr>
        <w:t>;</w:t>
      </w:r>
    </w:p>
    <w:p w14:paraId="54CC90C3" w14:textId="09BC0F66" w:rsidR="00233A7F" w:rsidRPr="00233A7F" w:rsidRDefault="00233A7F" w:rsidP="00233A7F">
      <w:pPr>
        <w:pStyle w:val="a3"/>
        <w:numPr>
          <w:ilvl w:val="0"/>
          <w:numId w:val="3"/>
        </w:numPr>
        <w:rPr>
          <w:rFonts w:ascii="Times New Roman" w:hAnsi="Times New Roman" w:cs="Times New Roman"/>
          <w:b/>
          <w:bCs/>
          <w:sz w:val="28"/>
          <w:szCs w:val="28"/>
          <w:lang w:val="ru-RU"/>
        </w:rPr>
      </w:pPr>
      <w:r w:rsidRPr="00233A7F">
        <w:rPr>
          <w:rFonts w:ascii="Times New Roman" w:hAnsi="Times New Roman" w:cs="Times New Roman"/>
          <w:b/>
          <w:bCs/>
          <w:sz w:val="28"/>
          <w:szCs w:val="28"/>
          <w:lang w:val="ru-RU"/>
        </w:rPr>
        <w:t>Основные концепции ВОИС</w:t>
      </w:r>
      <w:r>
        <w:rPr>
          <w:rFonts w:ascii="Times New Roman" w:hAnsi="Times New Roman" w:cs="Times New Roman"/>
          <w:b/>
          <w:bCs/>
          <w:sz w:val="28"/>
          <w:szCs w:val="28"/>
          <w:lang w:val="ru-RU"/>
        </w:rPr>
        <w:t>.</w:t>
      </w:r>
    </w:p>
    <w:sectPr w:rsidR="00233A7F" w:rsidRPr="00233A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3706D48"/>
    <w:multiLevelType w:val="hybridMultilevel"/>
    <w:tmpl w:val="E6668AD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47222858"/>
    <w:multiLevelType w:val="multilevel"/>
    <w:tmpl w:val="FD08B72C"/>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C884C15"/>
    <w:multiLevelType w:val="multilevel"/>
    <w:tmpl w:val="EFECE1CA"/>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304"/>
    <w:rsid w:val="00233A7F"/>
    <w:rsid w:val="00AE1B12"/>
    <w:rsid w:val="00B23B03"/>
    <w:rsid w:val="00C76304"/>
    <w:rsid w:val="00D536A0"/>
    <w:rsid w:val="00D904FD"/>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F891598"/>
  <w15:chartTrackingRefBased/>
  <w15:docId w15:val="{B74C7408-7AAD-4EF1-90C0-C4A3CDF13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33A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11</Pages>
  <Words>3939</Words>
  <Characters>22458</Characters>
  <Application>Microsoft Office Word</Application>
  <DocSecurity>0</DocSecurity>
  <Lines>187</Lines>
  <Paragraphs>52</Paragraphs>
  <ScaleCrop>false</ScaleCrop>
  <Company/>
  <LinksUpToDate>false</LinksUpToDate>
  <CharactersWithSpaces>26345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5</cp:revision>
  <dcterms:created xsi:type="dcterms:W3CDTF">2021-01-25T13:37:00Z</dcterms:created>
  <dcterms:modified xsi:type="dcterms:W3CDTF">2021-01-25T14:55:00Z</dcterms:modified>
</cp:coreProperties>
</file>